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BD803" w14:textId="65AE3A41" w:rsidR="00316E17" w:rsidRPr="00760E2E" w:rsidRDefault="00316E17" w:rsidP="00316E17">
      <w:pPr>
        <w:pStyle w:val="3GPPHeader"/>
        <w:rPr>
          <w:highlight w:val="yellow"/>
          <w:lang w:val="de-DE"/>
        </w:rPr>
      </w:pPr>
      <w:bookmarkStart w:id="0" w:name="_GoBack"/>
      <w:bookmarkEnd w:id="0"/>
      <w:r w:rsidRPr="00760E2E">
        <w:rPr>
          <w:lang w:val="de-DE"/>
        </w:rPr>
        <w:t>3GPP TSG-RAN WG1</w:t>
      </w:r>
      <w:r w:rsidR="00C63D5D">
        <w:rPr>
          <w:lang w:val="de-DE"/>
        </w:rPr>
        <w:t xml:space="preserve"> #89</w:t>
      </w:r>
      <w:r w:rsidRPr="00760E2E">
        <w:rPr>
          <w:lang w:val="de-DE"/>
        </w:rPr>
        <w:tab/>
      </w:r>
      <w:r w:rsidR="00CA5A33" w:rsidRPr="00CA5A33">
        <w:rPr>
          <w:lang w:val="de-DE"/>
        </w:rPr>
        <w:t>R1-1708668</w:t>
      </w:r>
    </w:p>
    <w:p w14:paraId="0A7A5A3A" w14:textId="7134864F" w:rsidR="004D4B4A" w:rsidRPr="00C95811" w:rsidRDefault="00C63D5D" w:rsidP="00740568">
      <w:pPr>
        <w:pStyle w:val="Header"/>
      </w:pPr>
      <w:r w:rsidRPr="00C63D5D">
        <w:t>Hangzhou, P.R. China 15th – 19th May 2017</w:t>
      </w:r>
    </w:p>
    <w:p w14:paraId="75337F83" w14:textId="77777777" w:rsidR="00740568" w:rsidRDefault="00740568" w:rsidP="00EA7BAE">
      <w:pPr>
        <w:pStyle w:val="Header"/>
        <w:tabs>
          <w:tab w:val="clear" w:pos="4536"/>
          <w:tab w:val="left" w:pos="1800"/>
        </w:tabs>
        <w:ind w:left="1800" w:hanging="1800"/>
      </w:pPr>
    </w:p>
    <w:p w14:paraId="12E41307" w14:textId="5AC5E6C8"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6945739A" w:rsidR="00EA7BAE" w:rsidRPr="001D2394" w:rsidRDefault="00EA7BAE" w:rsidP="00EA7BAE">
      <w:pPr>
        <w:pStyle w:val="Header"/>
        <w:tabs>
          <w:tab w:val="clear" w:pos="4536"/>
          <w:tab w:val="left" w:pos="1800"/>
        </w:tabs>
      </w:pPr>
      <w:r w:rsidRPr="009D2B97">
        <w:t>Title:</w:t>
      </w:r>
      <w:bookmarkStart w:id="1" w:name="Title"/>
      <w:bookmarkEnd w:id="1"/>
      <w:r w:rsidRPr="009D2B97">
        <w:tab/>
      </w:r>
      <w:r w:rsidR="003054C5" w:rsidRPr="004B0843">
        <w:t xml:space="preserve">Downlink </w:t>
      </w:r>
      <w:r w:rsidR="005D4D8D" w:rsidRPr="004B0843">
        <w:t xml:space="preserve">Tx </w:t>
      </w:r>
      <w:r w:rsidR="003054C5" w:rsidRPr="004B0843">
        <w:t xml:space="preserve">Scheme 2: </w:t>
      </w:r>
      <w:r w:rsidR="005D4D8D" w:rsidRPr="004B0843">
        <w:t>Summary, Recent Developments, &amp; Way Forward</w:t>
      </w:r>
    </w:p>
    <w:p w14:paraId="5F162BEF" w14:textId="058CD471"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1D5002">
        <w:t>7</w:t>
      </w:r>
      <w:r w:rsidR="009127CA" w:rsidRPr="009127CA">
        <w:t>.1.2.1.2</w:t>
      </w:r>
    </w:p>
    <w:p w14:paraId="70A052CD"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060C07D0" w:rsidR="004E3F86" w:rsidRDefault="00AF1102" w:rsidP="00A60380">
      <w:pPr>
        <w:pStyle w:val="Heading1"/>
      </w:pPr>
      <w:r w:rsidRPr="003178F4">
        <w:t>Introduction</w:t>
      </w:r>
    </w:p>
    <w:p w14:paraId="6CD04984" w14:textId="214A7F81" w:rsidR="00A5248E" w:rsidRDefault="00303B13" w:rsidP="006B6A77">
      <w:pPr>
        <w:pStyle w:val="BodyText"/>
      </w:pPr>
      <w:r>
        <w:t xml:space="preserve">In the January RAN1 adhoc, candidate techniques for </w:t>
      </w:r>
      <w:r w:rsidR="00E660BD">
        <w:t xml:space="preserve">(semi-)open loop transmission </w:t>
      </w:r>
      <w:r w:rsidR="00586422">
        <w:t xml:space="preserve">for PDSCH </w:t>
      </w:r>
      <w:r>
        <w:t>(‘transmission scheme 2’) were identified:</w:t>
      </w:r>
    </w:p>
    <w:p w14:paraId="1035E4D9" w14:textId="1CFF2554" w:rsidR="00303B13" w:rsidRPr="000C4875" w:rsidRDefault="00303B13" w:rsidP="00303B13">
      <w:pPr>
        <w:rPr>
          <w:rFonts w:eastAsia="MS Mincho"/>
          <w:b/>
          <w:highlight w:val="yellow"/>
          <w:u w:val="single"/>
          <w:lang w:eastAsia="ja-JP"/>
        </w:rPr>
      </w:pPr>
      <w:r w:rsidRPr="005435D0">
        <w:rPr>
          <w:rFonts w:eastAsia="MS Mincho" w:hint="eastAsia"/>
          <w:b/>
          <w:highlight w:val="green"/>
          <w:u w:val="single"/>
          <w:lang w:eastAsia="ja-JP"/>
        </w:rPr>
        <w:t>Agreements:</w:t>
      </w:r>
    </w:p>
    <w:p w14:paraId="7E992136" w14:textId="77777777" w:rsidR="00303B13" w:rsidRPr="005435D0" w:rsidRDefault="00303B13" w:rsidP="00303B13">
      <w:pPr>
        <w:numPr>
          <w:ilvl w:val="0"/>
          <w:numId w:val="36"/>
        </w:numPr>
        <w:rPr>
          <w:rFonts w:eastAsia="MS Mincho"/>
          <w:lang w:eastAsia="ja-JP"/>
        </w:rPr>
      </w:pPr>
      <w:r w:rsidRPr="005435D0">
        <w:rPr>
          <w:rFonts w:eastAsia="MS Mincho"/>
          <w:lang w:eastAsia="ja-JP"/>
        </w:rPr>
        <w:t xml:space="preserve">For </w:t>
      </w:r>
      <w:r w:rsidRPr="005435D0">
        <w:rPr>
          <w:rFonts w:eastAsia="MS Mincho" w:hint="eastAsia"/>
          <w:lang w:eastAsia="ja-JP"/>
        </w:rPr>
        <w:t>T</w:t>
      </w:r>
      <w:r w:rsidRPr="005435D0">
        <w:rPr>
          <w:rFonts w:eastAsia="MS Mincho"/>
          <w:lang w:eastAsia="ja-JP"/>
        </w:rPr>
        <w:t xml:space="preserve">ransmission scheme 2, down selection(s) on DMRS based transmission schemes will be done in RAN1#88 </w:t>
      </w:r>
      <w:r w:rsidRPr="005435D0">
        <w:rPr>
          <w:rFonts w:eastAsia="MS Mincho" w:hint="eastAsia"/>
          <w:lang w:eastAsia="ja-JP"/>
        </w:rPr>
        <w:t>at least for rank 1</w:t>
      </w:r>
    </w:p>
    <w:p w14:paraId="539C004A" w14:textId="77777777" w:rsidR="00303B13" w:rsidRPr="005435D0" w:rsidRDefault="00303B13" w:rsidP="00303B13">
      <w:pPr>
        <w:numPr>
          <w:ilvl w:val="1"/>
          <w:numId w:val="36"/>
        </w:numPr>
        <w:rPr>
          <w:rFonts w:eastAsia="MS Mincho"/>
          <w:lang w:eastAsia="ja-JP"/>
        </w:rPr>
      </w:pPr>
      <w:r w:rsidRPr="005435D0">
        <w:rPr>
          <w:rFonts w:eastAsia="MS Mincho"/>
          <w:lang w:eastAsia="ja-JP"/>
        </w:rPr>
        <w:t>For rank 1,</w:t>
      </w:r>
    </w:p>
    <w:p w14:paraId="22C3F179" w14:textId="77777777" w:rsidR="00303B13" w:rsidRPr="005435D0" w:rsidRDefault="00303B13" w:rsidP="00303B13">
      <w:pPr>
        <w:numPr>
          <w:ilvl w:val="2"/>
          <w:numId w:val="36"/>
        </w:numPr>
        <w:rPr>
          <w:rFonts w:eastAsia="MS Mincho"/>
          <w:lang w:eastAsia="ja-JP"/>
        </w:rPr>
      </w:pPr>
      <w:r w:rsidRPr="005435D0">
        <w:rPr>
          <w:rFonts w:eastAsia="MS Mincho"/>
          <w:lang w:eastAsia="ja-JP"/>
        </w:rPr>
        <w:t>Precoder cycling with transparent DMRS</w:t>
      </w:r>
    </w:p>
    <w:p w14:paraId="52137996" w14:textId="77777777" w:rsidR="00303B13" w:rsidRPr="005435D0" w:rsidRDefault="00303B13" w:rsidP="00303B13">
      <w:pPr>
        <w:numPr>
          <w:ilvl w:val="2"/>
          <w:numId w:val="36"/>
        </w:numPr>
        <w:rPr>
          <w:rFonts w:eastAsia="MS Mincho"/>
          <w:lang w:eastAsia="ja-JP"/>
        </w:rPr>
      </w:pPr>
      <w:r w:rsidRPr="005435D0">
        <w:rPr>
          <w:rFonts w:eastAsia="MS Mincho"/>
          <w:lang w:eastAsia="ja-JP"/>
        </w:rPr>
        <w:t xml:space="preserve">Precoder cycling with </w:t>
      </w:r>
      <w:r w:rsidRPr="005435D0">
        <w:rPr>
          <w:rFonts w:eastAsia="MS Mincho" w:hint="eastAsia"/>
          <w:lang w:eastAsia="ja-JP"/>
        </w:rPr>
        <w:t>non-</w:t>
      </w:r>
      <w:r w:rsidRPr="005435D0">
        <w:rPr>
          <w:rFonts w:eastAsia="MS Mincho"/>
          <w:lang w:eastAsia="ja-JP"/>
        </w:rPr>
        <w:t>transparent DMRS</w:t>
      </w:r>
    </w:p>
    <w:p w14:paraId="502C4609" w14:textId="77777777" w:rsidR="00303B13" w:rsidRPr="005435D0" w:rsidRDefault="00303B13" w:rsidP="00303B13">
      <w:pPr>
        <w:numPr>
          <w:ilvl w:val="2"/>
          <w:numId w:val="36"/>
        </w:numPr>
        <w:rPr>
          <w:rFonts w:eastAsia="MS Mincho"/>
          <w:lang w:eastAsia="ja-JP"/>
        </w:rPr>
      </w:pPr>
      <w:r w:rsidRPr="005435D0">
        <w:rPr>
          <w:rFonts w:eastAsia="MS Mincho"/>
          <w:lang w:eastAsia="ja-JP"/>
        </w:rPr>
        <w:t>Small-delay CDD with transparent DMRS</w:t>
      </w:r>
    </w:p>
    <w:p w14:paraId="4D87993E" w14:textId="77777777" w:rsidR="00303B13" w:rsidRPr="005435D0" w:rsidRDefault="00303B13" w:rsidP="00303B13">
      <w:pPr>
        <w:numPr>
          <w:ilvl w:val="2"/>
          <w:numId w:val="36"/>
        </w:numPr>
        <w:rPr>
          <w:rFonts w:eastAsia="MS Mincho"/>
          <w:lang w:eastAsia="ja-JP"/>
        </w:rPr>
      </w:pPr>
      <w:r w:rsidRPr="005435D0">
        <w:rPr>
          <w:rFonts w:eastAsia="MS Mincho"/>
          <w:lang w:eastAsia="ja-JP"/>
        </w:rPr>
        <w:t>DMRS based SFBC</w:t>
      </w:r>
    </w:p>
    <w:p w14:paraId="660EAE6C" w14:textId="77777777" w:rsidR="00303B13" w:rsidRPr="005435D0" w:rsidRDefault="00303B13" w:rsidP="00303B13">
      <w:pPr>
        <w:numPr>
          <w:ilvl w:val="1"/>
          <w:numId w:val="36"/>
        </w:numPr>
        <w:rPr>
          <w:rFonts w:eastAsia="MS Mincho"/>
          <w:lang w:eastAsia="ja-JP"/>
        </w:rPr>
      </w:pPr>
      <w:r w:rsidRPr="005435D0">
        <w:rPr>
          <w:rFonts w:eastAsia="MS Mincho"/>
          <w:lang w:eastAsia="ja-JP"/>
        </w:rPr>
        <w:t xml:space="preserve">For rank&gt;1, </w:t>
      </w:r>
    </w:p>
    <w:p w14:paraId="5C464956" w14:textId="77777777" w:rsidR="00303B13" w:rsidRPr="005435D0" w:rsidRDefault="00303B13" w:rsidP="00303B13">
      <w:pPr>
        <w:numPr>
          <w:ilvl w:val="2"/>
          <w:numId w:val="36"/>
        </w:numPr>
        <w:rPr>
          <w:rFonts w:eastAsia="MS Mincho"/>
          <w:lang w:eastAsia="ja-JP"/>
        </w:rPr>
      </w:pPr>
      <w:r w:rsidRPr="005435D0">
        <w:rPr>
          <w:rFonts w:eastAsia="MS Mincho"/>
          <w:lang w:eastAsia="ja-JP"/>
        </w:rPr>
        <w:t>Precoder cycling with transparent DMRS</w:t>
      </w:r>
    </w:p>
    <w:p w14:paraId="0F785BDC" w14:textId="77777777" w:rsidR="00303B13" w:rsidRPr="005435D0" w:rsidRDefault="00303B13" w:rsidP="00303B13">
      <w:pPr>
        <w:numPr>
          <w:ilvl w:val="2"/>
          <w:numId w:val="36"/>
        </w:numPr>
        <w:rPr>
          <w:rFonts w:eastAsia="MS Mincho"/>
          <w:lang w:eastAsia="ja-JP"/>
        </w:rPr>
      </w:pPr>
      <w:r w:rsidRPr="005435D0">
        <w:rPr>
          <w:rFonts w:eastAsia="MS Mincho"/>
          <w:lang w:eastAsia="ja-JP"/>
        </w:rPr>
        <w:t xml:space="preserve">Precoder cycling with </w:t>
      </w:r>
      <w:r w:rsidRPr="005435D0">
        <w:rPr>
          <w:rFonts w:eastAsia="MS Mincho" w:hint="eastAsia"/>
          <w:lang w:eastAsia="ja-JP"/>
        </w:rPr>
        <w:t>non-</w:t>
      </w:r>
      <w:r w:rsidRPr="005435D0">
        <w:rPr>
          <w:rFonts w:eastAsia="MS Mincho"/>
          <w:lang w:eastAsia="ja-JP"/>
        </w:rPr>
        <w:t>transparent DMRS</w:t>
      </w:r>
    </w:p>
    <w:p w14:paraId="1768C4D1" w14:textId="77777777" w:rsidR="00303B13" w:rsidRPr="005435D0" w:rsidRDefault="00303B13" w:rsidP="00303B13">
      <w:pPr>
        <w:numPr>
          <w:ilvl w:val="2"/>
          <w:numId w:val="36"/>
        </w:numPr>
        <w:rPr>
          <w:rFonts w:eastAsia="MS Mincho"/>
          <w:lang w:eastAsia="ja-JP"/>
        </w:rPr>
      </w:pPr>
      <w:r w:rsidRPr="005435D0">
        <w:rPr>
          <w:rFonts w:eastAsia="MS Mincho"/>
          <w:lang w:eastAsia="ja-JP"/>
        </w:rPr>
        <w:t>Layer shifting</w:t>
      </w:r>
    </w:p>
    <w:p w14:paraId="29533AC0" w14:textId="77777777" w:rsidR="00303B13" w:rsidRPr="005435D0" w:rsidRDefault="00303B13" w:rsidP="00303B13">
      <w:pPr>
        <w:numPr>
          <w:ilvl w:val="2"/>
          <w:numId w:val="36"/>
        </w:numPr>
        <w:rPr>
          <w:rFonts w:eastAsia="MS Mincho"/>
          <w:lang w:eastAsia="ja-JP"/>
        </w:rPr>
      </w:pPr>
      <w:r w:rsidRPr="005435D0">
        <w:rPr>
          <w:rFonts w:eastAsia="MS Mincho"/>
          <w:lang w:eastAsia="ja-JP"/>
        </w:rPr>
        <w:t>Precoder cycling with transparent DMRS</w:t>
      </w:r>
      <w:r w:rsidRPr="005435D0">
        <w:rPr>
          <w:rFonts w:eastAsia="MS Mincho" w:hint="eastAsia"/>
          <w:lang w:eastAsia="ja-JP"/>
        </w:rPr>
        <w:t xml:space="preserve"> and layer shifting</w:t>
      </w:r>
    </w:p>
    <w:p w14:paraId="7901B3C2" w14:textId="77777777" w:rsidR="00303B13" w:rsidRPr="005435D0" w:rsidRDefault="00303B13" w:rsidP="00303B13">
      <w:pPr>
        <w:numPr>
          <w:ilvl w:val="2"/>
          <w:numId w:val="36"/>
        </w:numPr>
        <w:rPr>
          <w:rFonts w:eastAsia="MS Mincho"/>
          <w:lang w:eastAsia="ja-JP"/>
        </w:rPr>
      </w:pPr>
      <w:r w:rsidRPr="005435D0">
        <w:rPr>
          <w:rFonts w:eastAsia="MS Mincho"/>
          <w:lang w:eastAsia="ja-JP"/>
        </w:rPr>
        <w:t>Small-delay CDD with transparent DMRS</w:t>
      </w:r>
    </w:p>
    <w:p w14:paraId="515A1BC7" w14:textId="77777777" w:rsidR="00303B13" w:rsidRPr="005435D0" w:rsidRDefault="00303B13" w:rsidP="00EE4F96">
      <w:pPr>
        <w:numPr>
          <w:ilvl w:val="2"/>
          <w:numId w:val="36"/>
        </w:numPr>
        <w:spacing w:after="120"/>
        <w:rPr>
          <w:rFonts w:eastAsia="MS Mincho"/>
          <w:lang w:eastAsia="ja-JP"/>
        </w:rPr>
      </w:pPr>
      <w:r w:rsidRPr="005435D0">
        <w:rPr>
          <w:rFonts w:eastAsia="MS Mincho"/>
          <w:lang w:eastAsia="ja-JP"/>
        </w:rPr>
        <w:t>Large-delay CDD with non-transparent DMRS</w:t>
      </w:r>
    </w:p>
    <w:p w14:paraId="0B6295E5" w14:textId="77777777" w:rsidR="00D74E59" w:rsidRDefault="003122F0" w:rsidP="00760E2E">
      <w:pPr>
        <w:spacing w:after="120"/>
        <w:jc w:val="both"/>
        <w:rPr>
          <w:szCs w:val="20"/>
          <w:lang w:eastAsia="ja-JP"/>
        </w:rPr>
      </w:pPr>
      <w:r>
        <w:rPr>
          <w:szCs w:val="20"/>
          <w:lang w:eastAsia="ja-JP"/>
        </w:rPr>
        <w:t>Since that time, it has been difficult to downselect among the candidate techniques</w:t>
      </w:r>
      <w:r w:rsidR="00D74E59">
        <w:rPr>
          <w:szCs w:val="20"/>
          <w:lang w:eastAsia="ja-JP"/>
        </w:rPr>
        <w:t xml:space="preserve"> for PDSCH</w:t>
      </w:r>
      <w:r>
        <w:rPr>
          <w:szCs w:val="20"/>
          <w:lang w:eastAsia="ja-JP"/>
        </w:rPr>
        <w:t xml:space="preserve">.  </w:t>
      </w:r>
      <w:r w:rsidR="004B0843">
        <w:rPr>
          <w:szCs w:val="20"/>
          <w:lang w:eastAsia="ja-JP"/>
        </w:rPr>
        <w:t xml:space="preserve">Factors complicating the downselection are </w:t>
      </w:r>
      <w:r>
        <w:rPr>
          <w:szCs w:val="20"/>
          <w:lang w:eastAsia="ja-JP"/>
        </w:rPr>
        <w:t>a lack of scenarios where TxD is truly beneficial</w:t>
      </w:r>
      <w:r w:rsidR="004B0843">
        <w:rPr>
          <w:szCs w:val="20"/>
          <w:lang w:eastAsia="ja-JP"/>
        </w:rPr>
        <w:t xml:space="preserve"> and a continued</w:t>
      </w:r>
      <w:r>
        <w:rPr>
          <w:szCs w:val="20"/>
          <w:lang w:eastAsia="ja-JP"/>
        </w:rPr>
        <w:t xml:space="preserve"> </w:t>
      </w:r>
      <w:r w:rsidR="004B0843">
        <w:rPr>
          <w:szCs w:val="20"/>
          <w:lang w:eastAsia="ja-JP"/>
        </w:rPr>
        <w:t xml:space="preserve">lack of </w:t>
      </w:r>
      <w:r>
        <w:rPr>
          <w:szCs w:val="20"/>
          <w:lang w:eastAsia="ja-JP"/>
        </w:rPr>
        <w:t xml:space="preserve">common understanding of the impact of different TxD schemes on interference rejecting receivers.  Therefore, </w:t>
      </w:r>
      <w:r w:rsidR="00B63B54">
        <w:rPr>
          <w:szCs w:val="20"/>
          <w:lang w:eastAsia="ja-JP"/>
        </w:rPr>
        <w:t xml:space="preserve">this contribution </w:t>
      </w:r>
      <w:r w:rsidR="00D74E59">
        <w:rPr>
          <w:szCs w:val="20"/>
          <w:lang w:eastAsia="ja-JP"/>
        </w:rPr>
        <w:t xml:space="preserve">revisits use cases and </w:t>
      </w:r>
      <w:r w:rsidR="00B63B54">
        <w:rPr>
          <w:szCs w:val="20"/>
          <w:lang w:eastAsia="ja-JP"/>
        </w:rPr>
        <w:t xml:space="preserve">scenarios for TxD operation </w:t>
      </w:r>
      <w:r w:rsidR="00D74E59">
        <w:rPr>
          <w:szCs w:val="20"/>
          <w:lang w:eastAsia="ja-JP"/>
        </w:rPr>
        <w:t xml:space="preserve">as well as </w:t>
      </w:r>
      <w:r w:rsidR="00B63B54">
        <w:rPr>
          <w:szCs w:val="20"/>
          <w:lang w:eastAsia="ja-JP"/>
        </w:rPr>
        <w:t>IRC receivers’ use with TxD</w:t>
      </w:r>
      <w:r>
        <w:rPr>
          <w:szCs w:val="20"/>
          <w:lang w:eastAsia="ja-JP"/>
        </w:rPr>
        <w:t xml:space="preserve">.  </w:t>
      </w:r>
    </w:p>
    <w:p w14:paraId="4E60F44E" w14:textId="67FDBC68" w:rsidR="00DF3D0C" w:rsidRDefault="00D74E59" w:rsidP="00760E2E">
      <w:pPr>
        <w:spacing w:after="120"/>
        <w:jc w:val="both"/>
        <w:rPr>
          <w:szCs w:val="20"/>
          <w:lang w:eastAsia="ja-JP"/>
        </w:rPr>
      </w:pPr>
      <w:r>
        <w:rPr>
          <w:szCs w:val="20"/>
          <w:lang w:eastAsia="ja-JP"/>
        </w:rPr>
        <w:t xml:space="preserve">While progress has not been made on PDSCH diversity schemes, a </w:t>
      </w:r>
      <w:r w:rsidR="00DF3D0C">
        <w:rPr>
          <w:szCs w:val="20"/>
          <w:lang w:eastAsia="ja-JP"/>
        </w:rPr>
        <w:t xml:space="preserve">related </w:t>
      </w:r>
      <w:r>
        <w:rPr>
          <w:szCs w:val="20"/>
          <w:lang w:eastAsia="ja-JP"/>
        </w:rPr>
        <w:t>decision was reached for PDCCH and PBCH</w:t>
      </w:r>
      <w:r w:rsidR="00DF3D0C">
        <w:rPr>
          <w:szCs w:val="20"/>
          <w:lang w:eastAsia="ja-JP"/>
        </w:rPr>
        <w:t>:</w:t>
      </w:r>
      <w:r>
        <w:rPr>
          <w:szCs w:val="20"/>
          <w:lang w:eastAsia="ja-JP"/>
        </w:rPr>
        <w:t xml:space="preserve">  </w:t>
      </w:r>
    </w:p>
    <w:p w14:paraId="4CA7A6D4" w14:textId="77777777" w:rsidR="00DF3D0C" w:rsidRPr="00AE0575" w:rsidRDefault="00DF3D0C" w:rsidP="00DF3D0C">
      <w:pPr>
        <w:rPr>
          <w:rFonts w:eastAsia="MS Mincho"/>
          <w:b/>
          <w:szCs w:val="20"/>
          <w:highlight w:val="darkYellow"/>
          <w:u w:val="single"/>
          <w:lang w:eastAsia="ja-JP"/>
        </w:rPr>
      </w:pPr>
      <w:r w:rsidRPr="00AE0575">
        <w:rPr>
          <w:rFonts w:eastAsia="MS Mincho"/>
          <w:b/>
          <w:szCs w:val="20"/>
          <w:highlight w:val="darkYellow"/>
          <w:u w:val="single"/>
          <w:lang w:eastAsia="ja-JP"/>
        </w:rPr>
        <w:t>Working assumption:</w:t>
      </w:r>
    </w:p>
    <w:p w14:paraId="56B7F7CB" w14:textId="77777777" w:rsidR="00DF3D0C" w:rsidRPr="006269A6" w:rsidRDefault="00DF3D0C" w:rsidP="00DF3D0C">
      <w:pPr>
        <w:numPr>
          <w:ilvl w:val="0"/>
          <w:numId w:val="47"/>
        </w:numPr>
        <w:rPr>
          <w:rFonts w:eastAsia="MS Mincho"/>
          <w:szCs w:val="20"/>
          <w:lang w:eastAsia="ja-JP"/>
        </w:rPr>
      </w:pPr>
      <w:r w:rsidRPr="006269A6">
        <w:rPr>
          <w:rFonts w:eastAsia="MS Mincho"/>
          <w:szCs w:val="20"/>
          <w:lang w:eastAsia="ja-JP"/>
        </w:rPr>
        <w:t xml:space="preserve">For NR-PBCH transmission, NR supports a single antenna port based transmission scheme only. </w:t>
      </w:r>
    </w:p>
    <w:p w14:paraId="6AAA0C59" w14:textId="77777777" w:rsidR="00DF3D0C" w:rsidRPr="006269A6" w:rsidRDefault="00DF3D0C" w:rsidP="00DF3D0C">
      <w:pPr>
        <w:numPr>
          <w:ilvl w:val="1"/>
          <w:numId w:val="47"/>
        </w:numPr>
        <w:rPr>
          <w:rFonts w:eastAsia="MS Mincho"/>
          <w:szCs w:val="20"/>
          <w:lang w:eastAsia="ja-JP"/>
        </w:rPr>
      </w:pPr>
      <w:r w:rsidRPr="006269A6">
        <w:rPr>
          <w:rFonts w:eastAsia="MS Mincho"/>
          <w:szCs w:val="20"/>
          <w:lang w:eastAsia="ja-JP"/>
        </w:rPr>
        <w:t>FFS: Same or different antenna port(s) are defined for NR-PSS, NR-SSS and NR-PBCH within an SS block</w:t>
      </w:r>
    </w:p>
    <w:p w14:paraId="18A897DD" w14:textId="77777777" w:rsidR="00DF3D0C" w:rsidRPr="006269A6" w:rsidRDefault="00DF3D0C" w:rsidP="00DF3D0C">
      <w:pPr>
        <w:numPr>
          <w:ilvl w:val="1"/>
          <w:numId w:val="47"/>
        </w:numPr>
        <w:rPr>
          <w:rFonts w:eastAsia="MS Mincho"/>
          <w:szCs w:val="20"/>
          <w:lang w:eastAsia="ja-JP"/>
        </w:rPr>
      </w:pPr>
      <w:r w:rsidRPr="006269A6">
        <w:rPr>
          <w:rFonts w:eastAsia="MS Mincho"/>
          <w:szCs w:val="20"/>
          <w:lang w:eastAsia="ja-JP"/>
        </w:rPr>
        <w:t>Companies are encouraged to further evaluate NR-PBCH performance</w:t>
      </w:r>
    </w:p>
    <w:p w14:paraId="16D6B17C" w14:textId="77777777" w:rsidR="00DF3D0C" w:rsidRDefault="00DF3D0C" w:rsidP="00DF3D0C">
      <w:pPr>
        <w:rPr>
          <w:rFonts w:eastAsia="MS Mincho"/>
          <w:b/>
          <w:iCs/>
          <w:szCs w:val="20"/>
          <w:highlight w:val="darkYellow"/>
          <w:u w:val="single"/>
          <w:lang w:eastAsia="ja-JP"/>
        </w:rPr>
      </w:pPr>
    </w:p>
    <w:p w14:paraId="45639E5D" w14:textId="77777777" w:rsidR="00DF3D0C" w:rsidRPr="0072303E" w:rsidRDefault="00DF3D0C" w:rsidP="00DF3D0C">
      <w:pPr>
        <w:rPr>
          <w:rFonts w:eastAsia="MS Mincho"/>
          <w:b/>
          <w:iCs/>
          <w:szCs w:val="20"/>
          <w:u w:val="single"/>
          <w:lang w:eastAsia="ja-JP"/>
        </w:rPr>
      </w:pPr>
      <w:r w:rsidRPr="0072303E">
        <w:rPr>
          <w:rFonts w:eastAsia="MS Mincho" w:hint="eastAsia"/>
          <w:b/>
          <w:iCs/>
          <w:szCs w:val="20"/>
          <w:highlight w:val="darkYellow"/>
          <w:u w:val="single"/>
          <w:lang w:eastAsia="ja-JP"/>
        </w:rPr>
        <w:t>Working assumption:</w:t>
      </w:r>
    </w:p>
    <w:p w14:paraId="19BF3818" w14:textId="77777777" w:rsidR="00DF3D0C" w:rsidRPr="0072303E" w:rsidRDefault="00DF3D0C" w:rsidP="00DF3D0C">
      <w:pPr>
        <w:numPr>
          <w:ilvl w:val="0"/>
          <w:numId w:val="48"/>
        </w:numPr>
        <w:rPr>
          <w:rFonts w:eastAsia="MS Mincho"/>
          <w:iCs/>
          <w:szCs w:val="20"/>
          <w:lang w:eastAsia="ja-JP"/>
        </w:rPr>
      </w:pPr>
      <w:r w:rsidRPr="0072303E">
        <w:rPr>
          <w:rFonts w:eastAsia="MS Mincho"/>
          <w:iCs/>
          <w:szCs w:val="20"/>
          <w:lang w:eastAsia="ja-JP"/>
        </w:rPr>
        <w:t>One-port transmit diversity scheme with REG bundling per CCE is used for NR-PDCCH</w:t>
      </w:r>
    </w:p>
    <w:p w14:paraId="57D7B02F" w14:textId="77777777" w:rsidR="00DF3D0C" w:rsidRPr="0072303E" w:rsidRDefault="00DF3D0C" w:rsidP="00DF3D0C">
      <w:pPr>
        <w:numPr>
          <w:ilvl w:val="1"/>
          <w:numId w:val="48"/>
        </w:numPr>
        <w:rPr>
          <w:rFonts w:eastAsia="MS Mincho"/>
          <w:iCs/>
          <w:szCs w:val="20"/>
          <w:lang w:eastAsia="ja-JP"/>
        </w:rPr>
      </w:pPr>
      <w:r w:rsidRPr="0072303E">
        <w:rPr>
          <w:rFonts w:eastAsia="MS Mincho"/>
          <w:iCs/>
          <w:szCs w:val="20"/>
          <w:lang w:eastAsia="ja-JP"/>
        </w:rPr>
        <w:t>FFS the bundling size</w:t>
      </w:r>
    </w:p>
    <w:p w14:paraId="088ECF26" w14:textId="77777777" w:rsidR="00DF3D0C" w:rsidRPr="0072303E" w:rsidRDefault="00DF3D0C" w:rsidP="00DF3D0C">
      <w:pPr>
        <w:numPr>
          <w:ilvl w:val="1"/>
          <w:numId w:val="48"/>
        </w:numPr>
        <w:rPr>
          <w:rFonts w:eastAsia="MS Mincho"/>
          <w:iCs/>
          <w:szCs w:val="20"/>
          <w:lang w:eastAsia="ja-JP"/>
        </w:rPr>
      </w:pPr>
      <w:r w:rsidRPr="0072303E">
        <w:rPr>
          <w:rFonts w:eastAsia="MS Mincho"/>
          <w:iCs/>
          <w:szCs w:val="20"/>
          <w:lang w:eastAsia="ja-JP"/>
        </w:rPr>
        <w:t>FFS: REG bundling is also for localized mapping in time and/or frequency-domain</w:t>
      </w:r>
    </w:p>
    <w:p w14:paraId="69AD90A3" w14:textId="77777777" w:rsidR="00DF3D0C" w:rsidRPr="0072303E" w:rsidRDefault="00DF3D0C" w:rsidP="00DF3D0C">
      <w:pPr>
        <w:numPr>
          <w:ilvl w:val="0"/>
          <w:numId w:val="48"/>
        </w:numPr>
        <w:spacing w:after="120"/>
        <w:rPr>
          <w:rFonts w:eastAsia="MS Mincho"/>
          <w:iCs/>
          <w:szCs w:val="20"/>
          <w:lang w:eastAsia="ja-JP"/>
        </w:rPr>
      </w:pPr>
      <w:r w:rsidRPr="0072303E">
        <w:rPr>
          <w:rFonts w:eastAsia="MS Mincho" w:hint="eastAsia"/>
          <w:iCs/>
          <w:szCs w:val="20"/>
          <w:lang w:eastAsia="ja-JP"/>
        </w:rPr>
        <w:t xml:space="preserve">Companies are </w:t>
      </w:r>
      <w:r w:rsidRPr="0072303E">
        <w:rPr>
          <w:rFonts w:eastAsia="MS Mincho"/>
          <w:iCs/>
          <w:szCs w:val="20"/>
          <w:lang w:eastAsia="ja-JP"/>
        </w:rPr>
        <w:t>encouraged</w:t>
      </w:r>
      <w:r w:rsidRPr="0072303E">
        <w:rPr>
          <w:rFonts w:eastAsia="MS Mincho" w:hint="eastAsia"/>
          <w:iCs/>
          <w:szCs w:val="20"/>
          <w:lang w:eastAsia="ja-JP"/>
        </w:rPr>
        <w:t xml:space="preserve"> to provide evaluation </w:t>
      </w:r>
      <w:r w:rsidRPr="0072303E">
        <w:rPr>
          <w:rFonts w:eastAsia="MS Mincho"/>
          <w:iCs/>
          <w:szCs w:val="20"/>
          <w:lang w:eastAsia="ja-JP"/>
        </w:rPr>
        <w:t>results</w:t>
      </w:r>
      <w:r w:rsidRPr="0072303E">
        <w:rPr>
          <w:rFonts w:eastAsia="MS Mincho" w:hint="eastAsia"/>
          <w:iCs/>
          <w:szCs w:val="20"/>
          <w:lang w:eastAsia="ja-JP"/>
        </w:rPr>
        <w:t xml:space="preserve"> for 10 MHz and 20 MHz for larger aggregation levels and 5 MHz and 10 MHz for smaller aggregation levels </w:t>
      </w:r>
    </w:p>
    <w:p w14:paraId="6C5676FD" w14:textId="78892CD3" w:rsidR="00E660BD" w:rsidRDefault="00D74E59" w:rsidP="00760E2E">
      <w:pPr>
        <w:spacing w:after="120"/>
        <w:jc w:val="both"/>
        <w:rPr>
          <w:szCs w:val="20"/>
          <w:lang w:eastAsia="ja-JP"/>
        </w:rPr>
      </w:pPr>
      <w:r>
        <w:rPr>
          <w:szCs w:val="20"/>
          <w:lang w:eastAsia="ja-JP"/>
        </w:rPr>
        <w:t>This decision as well as proposals</w:t>
      </w:r>
      <w:r w:rsidR="00007F65">
        <w:rPr>
          <w:szCs w:val="20"/>
          <w:lang w:eastAsia="ja-JP"/>
        </w:rPr>
        <w:t xml:space="preserve"> for semi-open loop operation are</w:t>
      </w:r>
      <w:r>
        <w:rPr>
          <w:szCs w:val="20"/>
          <w:lang w:eastAsia="ja-JP"/>
        </w:rPr>
        <w:t xml:space="preserve"> used as context to develop a proposal with two alternative ways forward.</w:t>
      </w:r>
    </w:p>
    <w:p w14:paraId="4C1FB4C8" w14:textId="065639A6" w:rsidR="00A5248E" w:rsidRDefault="001C74EF" w:rsidP="00A5248E">
      <w:pPr>
        <w:pStyle w:val="Heading1"/>
      </w:pPr>
      <w:r>
        <w:t xml:space="preserve">Open Loop </w:t>
      </w:r>
      <w:r w:rsidR="00A5248E">
        <w:t>Schemes for Diversity and Spatial Multiplexing</w:t>
      </w:r>
    </w:p>
    <w:p w14:paraId="776733A5" w14:textId="7E47CDB6" w:rsidR="00A5248E" w:rsidRDefault="00A5248E" w:rsidP="00A5248E">
      <w:pPr>
        <w:pStyle w:val="BodyText"/>
      </w:pPr>
      <w:r>
        <w:t xml:space="preserve">We discuss 4 transmission </w:t>
      </w:r>
      <w:r w:rsidR="00E7559D">
        <w:t xml:space="preserve">basic </w:t>
      </w:r>
      <w:r>
        <w:t xml:space="preserve">schemes </w:t>
      </w:r>
      <w:r w:rsidR="004E3E65">
        <w:t xml:space="preserve">in </w:t>
      </w:r>
      <w:r>
        <w:t>two groups, for rank 1 and rank 2 transmission, respectively.</w:t>
      </w:r>
      <w:r w:rsidR="00E7559D">
        <w:t xml:space="preserve">  </w:t>
      </w:r>
      <w:r w:rsidR="001C74EF">
        <w:t xml:space="preserve">While not explicitly considered, the same principles apply to ‘semi-Open-Loop’ </w:t>
      </w:r>
      <w:r w:rsidR="00E7559D">
        <w:t xml:space="preserve">schemes where a large number of TXRUs </w:t>
      </w:r>
      <w:r w:rsidR="001C74EF">
        <w:t xml:space="preserve">beamform </w:t>
      </w:r>
      <w:r w:rsidR="00E7559D">
        <w:t xml:space="preserve">a physical channel over a small </w:t>
      </w:r>
      <w:r w:rsidR="001C74EF">
        <w:t xml:space="preserve">number of antenna ports.  In these </w:t>
      </w:r>
      <w:r w:rsidR="00D40284">
        <w:t xml:space="preserve">(semi-)open loop </w:t>
      </w:r>
      <w:r w:rsidR="001C74EF">
        <w:t xml:space="preserve">cases, the beamforming </w:t>
      </w:r>
      <w:r w:rsidR="001C74EF">
        <w:lastRenderedPageBreak/>
        <w:t xml:space="preserve">is determined by the gNB </w:t>
      </w:r>
      <w:r w:rsidR="00D40284">
        <w:t xml:space="preserve">e.g. </w:t>
      </w:r>
      <w:r w:rsidR="001C74EF">
        <w:t>through reciprocity</w:t>
      </w:r>
      <w:r w:rsidR="00D40284">
        <w:t>,</w:t>
      </w:r>
      <w:r w:rsidR="001C74EF">
        <w:t xml:space="preserve"> long term PMI feedback, </w:t>
      </w:r>
      <w:r w:rsidR="00D40284">
        <w:t xml:space="preserve">or other DL RS measurements, </w:t>
      </w:r>
      <w:r w:rsidR="001C74EF">
        <w:t>and TXRUs are virtualized down to, say, 2 DMRS ports.  Diversity transmission is then applied on top of these beamformed DMRS ports.</w:t>
      </w:r>
    </w:p>
    <w:p w14:paraId="4D353CB9" w14:textId="77777777" w:rsidR="00A5248E" w:rsidRDefault="00A5248E" w:rsidP="00A5248E">
      <w:pPr>
        <w:pStyle w:val="Heading3"/>
      </w:pPr>
      <w:r>
        <w:t>Diversity Schemes</w:t>
      </w:r>
    </w:p>
    <w:p w14:paraId="0E6761BF" w14:textId="1ABEA4A7" w:rsidR="00931196" w:rsidRDefault="00931196" w:rsidP="00760E2E">
      <w:pPr>
        <w:jc w:val="both"/>
      </w:pPr>
      <w:r>
        <w:t>Rank 1 Tx diversity</w:t>
      </w:r>
      <w:r w:rsidR="00705B66">
        <w:t xml:space="preserve"> (TxD)</w:t>
      </w:r>
      <w:r>
        <w:t xml:space="preserve"> schemes under consideration for NR can be broken down into two categories, represented by space-time/frequency codes such as SFBC, and precoder cycling.  </w:t>
      </w:r>
      <w:r w:rsidR="00EF364D">
        <w:t xml:space="preserve">These schemes are described in more detail in </w:t>
      </w:r>
      <w:r w:rsidR="005A0CBC">
        <w:fldChar w:fldCharType="begin"/>
      </w:r>
      <w:r w:rsidR="005A0CBC">
        <w:instrText xml:space="preserve"> REF _Ref471135543 \r \h </w:instrText>
      </w:r>
      <w:r w:rsidR="00E64DC3">
        <w:instrText xml:space="preserve"> \* MERGEFORMAT </w:instrText>
      </w:r>
      <w:r w:rsidR="005A0CBC">
        <w:fldChar w:fldCharType="separate"/>
      </w:r>
      <w:r w:rsidR="00DB608E">
        <w:t>[5]</w:t>
      </w:r>
      <w:r w:rsidR="005A0CBC">
        <w:fldChar w:fldCharType="end"/>
      </w:r>
      <w:r w:rsidR="00EF364D">
        <w:t>, and summarized here.</w:t>
      </w:r>
    </w:p>
    <w:p w14:paraId="2F1D9C60" w14:textId="77777777" w:rsidR="00931196" w:rsidRDefault="00931196" w:rsidP="00760E2E">
      <w:pPr>
        <w:jc w:val="both"/>
      </w:pPr>
    </w:p>
    <w:p w14:paraId="75FC2230" w14:textId="50C4AA75" w:rsidR="006B05AC" w:rsidRDefault="00931196" w:rsidP="00760E2E">
      <w:pPr>
        <w:jc w:val="both"/>
      </w:pPr>
      <w:r>
        <w:t xml:space="preserve">SFBC schemes use a unitary transformation of two antenna ports across two REs to provide full diversity order without bandwidth expansion.  </w:t>
      </w:r>
      <w:r w:rsidR="00EF364D">
        <w:t xml:space="preserve">Because a single layer is transmitted with two precoding combinations, two DMRS ports must be transmitted.  This doubling of the required number of DMRS ports reduces DMRS SINR, increasing the overhead of SFBC relative to single antenna or rank 1 closed loop </w:t>
      </w:r>
      <w:r w:rsidR="0097096E">
        <w:t>transmission</w:t>
      </w:r>
      <w:r w:rsidR="00EF364D">
        <w:t>.  Furthermore, t</w:t>
      </w:r>
      <w:r>
        <w:t xml:space="preserve">he </w:t>
      </w:r>
      <w:r w:rsidR="00EF364D">
        <w:t xml:space="preserve">SFBC </w:t>
      </w:r>
      <w:r>
        <w:t>transformation leads to a symbol pairing requirement, which can complicate rate matc</w:t>
      </w:r>
      <w:r w:rsidR="00EF364D">
        <w:t>hing</w:t>
      </w:r>
      <w:r w:rsidR="007C664E">
        <w:t xml:space="preserve"> with ‘orphan REs’</w:t>
      </w:r>
      <w:r w:rsidR="00E64DC3">
        <w:t>.</w:t>
      </w:r>
    </w:p>
    <w:p w14:paraId="1808565C" w14:textId="77777777" w:rsidR="006B05AC" w:rsidRDefault="006B05AC" w:rsidP="00760E2E">
      <w:pPr>
        <w:jc w:val="both"/>
      </w:pPr>
    </w:p>
    <w:p w14:paraId="701504C7" w14:textId="2C8D86F9" w:rsidR="00A5248E" w:rsidRDefault="00A5248E" w:rsidP="00760E2E">
      <w:pPr>
        <w:jc w:val="both"/>
      </w:pPr>
      <w:r>
        <w:t>Precoder cycling is a straightforward way to randomize the effective channel to a UE</w:t>
      </w:r>
      <w:r w:rsidR="00EF364D">
        <w:t xml:space="preserve"> by varying the precoder in the frequency domain.  Rather than pairing resources, precoder cycling relies on the FEC to </w:t>
      </w:r>
      <w:r w:rsidR="00012F1E">
        <w:t xml:space="preserve">allow the same information to be transmitted with different precoding.  This reliance on FEC means that it can perform equivalently to SFBC only at sufficiently low code rate.  Other than this reliance on FEC, precoder cycling is quite similar to SFBC.  Because the precoder cycling should be as quick as possible to maximize diversity gain, precoder cycling should be varied per RE, which </w:t>
      </w:r>
      <w:r w:rsidR="00E60135">
        <w:t xml:space="preserve">means </w:t>
      </w:r>
      <w:r w:rsidR="00012F1E">
        <w:t xml:space="preserve">that </w:t>
      </w:r>
      <w:r>
        <w:t>2 DMRSs are needed.</w:t>
      </w:r>
      <w:r w:rsidR="00012F1E">
        <w:t xml:space="preserve">  </w:t>
      </w:r>
      <w:r w:rsidR="00C57427">
        <w:t>A second reason to vary the precoding more quickly is to support low latency transmission</w:t>
      </w:r>
      <w:r w:rsidR="004B1C4D">
        <w:t>, for example transmission in a mini-slot</w:t>
      </w:r>
      <w:r w:rsidR="00B510FD">
        <w:t>.  Since such transmissions are short in time, they should cycle as quickly as possible in frequency.</w:t>
      </w:r>
    </w:p>
    <w:p w14:paraId="71652BBE" w14:textId="77777777" w:rsidR="00012F1E" w:rsidRDefault="00012F1E" w:rsidP="00760E2E">
      <w:pPr>
        <w:jc w:val="both"/>
      </w:pPr>
    </w:p>
    <w:p w14:paraId="514C1621" w14:textId="77777777" w:rsidR="00012F1E" w:rsidRDefault="00012F1E" w:rsidP="00760E2E">
      <w:pPr>
        <w:jc w:val="both"/>
      </w:pPr>
      <w:r>
        <w:t xml:space="preserve">It is also possible to use </w:t>
      </w:r>
      <w:r w:rsidR="0097096E">
        <w:t xml:space="preserve">cycle precoding while changing the precoder once per PRB or once per </w:t>
      </w:r>
      <w:r w:rsidR="005A4963">
        <w:t xml:space="preserve">N </w:t>
      </w:r>
      <w:r>
        <w:t>PRB</w:t>
      </w:r>
      <w:r w:rsidR="0097096E">
        <w:t>s.  While the performance benefits of such per-</w:t>
      </w:r>
      <w:r w:rsidR="005A4963">
        <w:t>N-</w:t>
      </w:r>
      <w:r w:rsidR="0097096E">
        <w:t>PRB cycling can be less than that of per-RE cycling for sufficiently narrowband transmissions, it can be done transparently to the UE.  Consequently, transparent per-</w:t>
      </w:r>
      <w:r w:rsidR="005A4963">
        <w:t>N-</w:t>
      </w:r>
      <w:r w:rsidR="0097096E">
        <w:t>PRB cycling can be an alternative to specifying TxD, in particular per-RE precoder cycling.</w:t>
      </w:r>
      <w:r w:rsidR="005A4963">
        <w:t xml:space="preserve">  </w:t>
      </w:r>
    </w:p>
    <w:p w14:paraId="6EF9BE70" w14:textId="77777777" w:rsidR="00012F1E" w:rsidRDefault="00012F1E" w:rsidP="00012F1E"/>
    <w:p w14:paraId="7E0BAF57" w14:textId="77777777" w:rsidR="00A5248E" w:rsidRDefault="00A5248E" w:rsidP="00A5248E">
      <w:pPr>
        <w:rPr>
          <w:b/>
        </w:rPr>
      </w:pPr>
      <w:r w:rsidRPr="00621135">
        <w:rPr>
          <w:b/>
        </w:rPr>
        <w:t>Observations</w:t>
      </w:r>
      <w:r>
        <w:rPr>
          <w:b/>
        </w:rPr>
        <w:t>:</w:t>
      </w:r>
    </w:p>
    <w:p w14:paraId="2152A919"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14:paraId="7B2DEDBC"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14:paraId="2C063458"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Both schemes</w:t>
      </w:r>
    </w:p>
    <w:p w14:paraId="0512CEF1" w14:textId="07FC637C" w:rsidR="00A5248E" w:rsidRPr="00710043" w:rsidRDefault="00A5248E" w:rsidP="00A5248E">
      <w:pPr>
        <w:pStyle w:val="ListParagraph"/>
        <w:numPr>
          <w:ilvl w:val="1"/>
          <w:numId w:val="25"/>
        </w:numPr>
        <w:rPr>
          <w:rFonts w:ascii="Times New Roman" w:hAnsi="Times New Roman" w:cs="Times New Roman"/>
          <w:sz w:val="20"/>
        </w:rPr>
      </w:pPr>
      <w:r w:rsidRPr="00710043">
        <w:rPr>
          <w:rFonts w:ascii="Times New Roman" w:hAnsi="Times New Roman" w:cs="Times New Roman"/>
          <w:sz w:val="20"/>
        </w:rPr>
        <w:t>Have reduced DMRS S</w:t>
      </w:r>
      <w:r w:rsidR="00E64DC3">
        <w:rPr>
          <w:rFonts w:ascii="Times New Roman" w:hAnsi="Times New Roman" w:cs="Times New Roman"/>
          <w:sz w:val="20"/>
        </w:rPr>
        <w:t>I</w:t>
      </w:r>
      <w:r w:rsidRPr="00710043">
        <w:rPr>
          <w:rFonts w:ascii="Times New Roman" w:hAnsi="Times New Roman" w:cs="Times New Roman"/>
          <w:sz w:val="20"/>
        </w:rPr>
        <w:t xml:space="preserve">NR as compared to rank 1 </w:t>
      </w:r>
      <w:r w:rsidR="0028365D">
        <w:rPr>
          <w:rFonts w:ascii="Times New Roman" w:hAnsi="Times New Roman" w:cs="Times New Roman"/>
          <w:sz w:val="20"/>
        </w:rPr>
        <w:t>closed loop MIMO</w:t>
      </w:r>
    </w:p>
    <w:p w14:paraId="4A61AC73" w14:textId="77777777" w:rsidR="005A4963" w:rsidRPr="00710043" w:rsidRDefault="005A4963" w:rsidP="005A4963">
      <w:pPr>
        <w:pStyle w:val="ListParagraph"/>
        <w:numPr>
          <w:ilvl w:val="0"/>
          <w:numId w:val="25"/>
        </w:numPr>
        <w:rPr>
          <w:rFonts w:ascii="Times New Roman" w:hAnsi="Times New Roman" w:cs="Times New Roman"/>
          <w:sz w:val="20"/>
        </w:rPr>
      </w:pPr>
      <w:r>
        <w:rPr>
          <w:rFonts w:ascii="Times New Roman" w:hAnsi="Times New Roman" w:cs="Times New Roman"/>
          <w:sz w:val="20"/>
        </w:rPr>
        <w:t>Transparent precoder cycling can be an alternative to specified TxD, at least to per-RE precoder cycling.</w:t>
      </w:r>
    </w:p>
    <w:p w14:paraId="5C34F48A" w14:textId="39E92478" w:rsidR="00C3631C" w:rsidRDefault="00C3631C" w:rsidP="00A5248E">
      <w:pPr>
        <w:pStyle w:val="Heading3"/>
      </w:pPr>
      <w:r>
        <w:t xml:space="preserve">Impact of TxD on Interference Rejecting Receivers </w:t>
      </w:r>
    </w:p>
    <w:p w14:paraId="7C9018FE" w14:textId="1D323464" w:rsidR="00C3631C" w:rsidRDefault="00C3631C" w:rsidP="00760E2E">
      <w:pPr>
        <w:jc w:val="both"/>
      </w:pPr>
      <w:r>
        <w:t>The two orthogonal precoding combinations of SFBC cannot be suppressed with a single degree of freedom in an MMSE-IRC receiver.  This means that SFBC is often c</w:t>
      </w:r>
      <w:r w:rsidR="00AD0301">
        <w:t xml:space="preserve">onsidered ‘rank 2’ interference, and so can degrade the performance of MMSE-IRC receivers </w:t>
      </w:r>
      <w:r w:rsidR="00AD0301">
        <w:fldChar w:fldCharType="begin"/>
      </w:r>
      <w:r w:rsidR="00AD0301">
        <w:instrText xml:space="preserve"> REF _Ref471722234 \r \h </w:instrText>
      </w:r>
      <w:r w:rsidR="00E64DC3">
        <w:instrText xml:space="preserve"> \* MERGEFORMAT </w:instrText>
      </w:r>
      <w:r w:rsidR="00AD0301">
        <w:fldChar w:fldCharType="separate"/>
      </w:r>
      <w:r w:rsidR="00DB608E">
        <w:t>[1]</w:t>
      </w:r>
      <w:r w:rsidR="00AD0301">
        <w:fldChar w:fldCharType="end"/>
      </w:r>
      <w:r w:rsidR="00AD0301">
        <w:fldChar w:fldCharType="begin"/>
      </w:r>
      <w:r w:rsidR="00AD0301">
        <w:instrText xml:space="preserve"> REF _Ref471722238 \r \h </w:instrText>
      </w:r>
      <w:r w:rsidR="00E64DC3">
        <w:instrText xml:space="preserve"> \* MERGEFORMAT </w:instrText>
      </w:r>
      <w:r w:rsidR="00AD0301">
        <w:fldChar w:fldCharType="separate"/>
      </w:r>
      <w:r w:rsidR="00DB608E">
        <w:t>[2]</w:t>
      </w:r>
      <w:r w:rsidR="00AD0301">
        <w:fldChar w:fldCharType="end"/>
      </w:r>
      <w:r w:rsidR="0006019F">
        <w:fldChar w:fldCharType="begin"/>
      </w:r>
      <w:r w:rsidR="0006019F">
        <w:instrText xml:space="preserve"> REF _Ref471135543 \r \h </w:instrText>
      </w:r>
      <w:r w:rsidR="00E64DC3">
        <w:instrText xml:space="preserve"> \* MERGEFORMAT </w:instrText>
      </w:r>
      <w:r w:rsidR="0006019F">
        <w:fldChar w:fldCharType="separate"/>
      </w:r>
      <w:r w:rsidR="00DB608E">
        <w:t>[5]</w:t>
      </w:r>
      <w:r w:rsidR="0006019F">
        <w:fldChar w:fldCharType="end"/>
      </w:r>
      <w:r w:rsidR="00AD0301">
        <w:t>.</w:t>
      </w:r>
      <w:r>
        <w:t xml:space="preserve">  However, *if* an MMSE-IRC receiver knows which REs are associated with which precoder combination, it is possible for the receiver to use a set of combining weights for each precoder combination, and so the receiver can treat SFBC interference as a rank 1, applying one degree of freedom to suppress each of the SFBC precoder combinations.  </w:t>
      </w:r>
      <w:r w:rsidR="00C316D6">
        <w:t>I</w:t>
      </w:r>
      <w:r>
        <w:t>t can be very difficult to know which set of precoding combinations are used on an interferer, since the ‘phase’ of the combinations can vary according to the interfering physical channel’s rate matching, which can be difficult to determine.  For example, in LTE, PDSCH is rate matched around CSI-RS, and the SFBC ‘phase’ can also vary according to the size of the allocation.  These problems were addressed in detail during LTE NAICS discussions, where it was understood that the SFBC structure could not be exploited to enhance its ability to be suppressed.</w:t>
      </w:r>
      <w:r w:rsidR="00B24DB2">
        <w:t xml:space="preserve">  Schemes </w:t>
      </w:r>
      <w:r w:rsidR="00634338">
        <w:t xml:space="preserve">that have fixed precoder to RE relationships </w:t>
      </w:r>
      <w:r w:rsidR="00B24DB2">
        <w:t xml:space="preserve">such as </w:t>
      </w:r>
      <w:r w:rsidR="00634338">
        <w:t xml:space="preserve">‘partial slot’precoding </w:t>
      </w:r>
      <w:r w:rsidR="000C710D">
        <w:fldChar w:fldCharType="begin"/>
      </w:r>
      <w:r w:rsidR="000C710D">
        <w:instrText xml:space="preserve"> REF _Ref477449010 \r \h </w:instrText>
      </w:r>
      <w:r w:rsidR="00E64DC3">
        <w:instrText xml:space="preserve"> \* MERGEFORMAT </w:instrText>
      </w:r>
      <w:r w:rsidR="000C710D">
        <w:fldChar w:fldCharType="separate"/>
      </w:r>
      <w:r w:rsidR="00DB608E">
        <w:t>[6]</w:t>
      </w:r>
      <w:r w:rsidR="000C710D">
        <w:fldChar w:fldCharType="end"/>
      </w:r>
      <w:r w:rsidR="000C710D">
        <w:t xml:space="preserve"> </w:t>
      </w:r>
      <w:r w:rsidR="00634338">
        <w:t xml:space="preserve">can potentially avoid these problems by enabling the UE to know which REs use the same precoders.   However, such fixed </w:t>
      </w:r>
      <w:r w:rsidR="000C710D">
        <w:t>relationships can be applied to precoder cycling as well as SFBC schemes.</w:t>
      </w:r>
      <w:r w:rsidR="00740E7A">
        <w:t xml:space="preserve">  </w:t>
      </w:r>
      <w:r w:rsidR="00150902">
        <w:t>Furthermore, t</w:t>
      </w:r>
      <w:r w:rsidR="00740E7A">
        <w:t>h</w:t>
      </w:r>
      <w:r w:rsidR="00150902">
        <w:t>ese</w:t>
      </w:r>
      <w:r w:rsidR="00740E7A">
        <w:t xml:space="preserve"> relationships must be truly fixed, which may be challenging if singl</w:t>
      </w:r>
      <w:r w:rsidR="0006019F">
        <w:t>e antenna, variable slot sizes,</w:t>
      </w:r>
      <w:r w:rsidR="00740E7A">
        <w:t xml:space="preserve"> different numerology, etc, can be used on interferers.</w:t>
      </w:r>
    </w:p>
    <w:p w14:paraId="5F602FDE" w14:textId="77777777" w:rsidR="00B510FD" w:rsidRDefault="00B510FD" w:rsidP="00760E2E">
      <w:pPr>
        <w:jc w:val="both"/>
      </w:pPr>
    </w:p>
    <w:p w14:paraId="5A92DD26" w14:textId="2025FE68" w:rsidR="00150902" w:rsidRDefault="00150902" w:rsidP="00760E2E">
      <w:pPr>
        <w:jc w:val="both"/>
      </w:pPr>
      <w:r>
        <w:lastRenderedPageBreak/>
        <w:t xml:space="preserve">Per-RE ‘fast’ cycling has similar behavior with IRC receivers.  When UEs can’t reliably determine the ‘phase’ of the precoder cycling of an interferer, they will likely perform interference covariance estimation over adjacent cycled REs, and therefore UEs in neighbor cells will see per-RE precoder cycled transmissions as rank 2 interference.  </w:t>
      </w:r>
    </w:p>
    <w:p w14:paraId="20B73BB3" w14:textId="77777777" w:rsidR="00150902" w:rsidRDefault="00150902" w:rsidP="00760E2E">
      <w:pPr>
        <w:jc w:val="both"/>
      </w:pPr>
    </w:p>
    <w:p w14:paraId="4A559107" w14:textId="5BB4F878" w:rsidR="00B510FD" w:rsidRDefault="000C710D" w:rsidP="00760E2E">
      <w:pPr>
        <w:jc w:val="both"/>
      </w:pPr>
      <w:r>
        <w:t xml:space="preserve">It has also been argued </w:t>
      </w:r>
      <w:r>
        <w:fldChar w:fldCharType="begin"/>
      </w:r>
      <w:r>
        <w:instrText xml:space="preserve"> REF _Ref477449010 \r \h </w:instrText>
      </w:r>
      <w:r w:rsidR="00E64DC3">
        <w:instrText xml:space="preserve"> \* MERGEFORMAT </w:instrText>
      </w:r>
      <w:r>
        <w:fldChar w:fldCharType="separate"/>
      </w:r>
      <w:r w:rsidR="00DB608E">
        <w:t>[6]</w:t>
      </w:r>
      <w:r>
        <w:fldChar w:fldCharType="end"/>
      </w:r>
      <w:r>
        <w:t xml:space="preserve"> that n</w:t>
      </w:r>
      <w:r w:rsidR="00634338">
        <w:t xml:space="preserve">on-colliding DMRS </w:t>
      </w:r>
      <w:r>
        <w:t xml:space="preserve">is needed in pre-RE precoder cycling schemes in order to properly </w:t>
      </w:r>
      <w:r w:rsidR="00634338">
        <w:t xml:space="preserve">estimate PDSCH interference </w:t>
      </w:r>
      <w:r>
        <w:t xml:space="preserve">for these schemes.  However, </w:t>
      </w:r>
      <w:r w:rsidR="005E6FAB">
        <w:t>this does not seem a critica</w:t>
      </w:r>
      <w:r w:rsidR="00B510FD">
        <w:t xml:space="preserve">l issue.  Nonlinear receivers such as RML or </w:t>
      </w:r>
      <w:r w:rsidR="00740E7A">
        <w:t>SIC explicitly estimate interference and are used in LTE for SU-MIMO, NAICS, and MUST operation.  Therefore, explicitly estimating an interfering channel using colliding DMRS is well established</w:t>
      </w:r>
      <w:r w:rsidR="00150902">
        <w:t>, and could be used for SFBC or per-RE interference suppression</w:t>
      </w:r>
      <w:r w:rsidR="00740E7A">
        <w:t xml:space="preserve">.  </w:t>
      </w:r>
      <w:r w:rsidR="00B510FD">
        <w:t xml:space="preserve">UE implementations can also use PDSCH </w:t>
      </w:r>
      <w:r w:rsidR="00150902">
        <w:t>REs for interference estimation, in which case whether DMRS collides or not is not an issue.</w:t>
      </w:r>
    </w:p>
    <w:p w14:paraId="1561FEA9" w14:textId="6B735449" w:rsidR="00C3631C" w:rsidRDefault="00C3631C" w:rsidP="00C3631C"/>
    <w:p w14:paraId="0F7AC4E5" w14:textId="0F30FFD9" w:rsidR="00C3631C" w:rsidRPr="00C3631C" w:rsidRDefault="00C3631C" w:rsidP="00C3631C">
      <w:pPr>
        <w:rPr>
          <w:b/>
        </w:rPr>
      </w:pPr>
      <w:r w:rsidRPr="00621135">
        <w:rPr>
          <w:b/>
        </w:rPr>
        <w:t>Observations</w:t>
      </w:r>
      <w:r>
        <w:rPr>
          <w:b/>
        </w:rPr>
        <w:t>:</w:t>
      </w:r>
    </w:p>
    <w:p w14:paraId="5FF4058D" w14:textId="54725283" w:rsidR="00C3631C" w:rsidRDefault="00C3631C" w:rsidP="00C3631C">
      <w:pPr>
        <w:pStyle w:val="ListParagraph"/>
        <w:numPr>
          <w:ilvl w:val="0"/>
          <w:numId w:val="25"/>
        </w:numPr>
        <w:rPr>
          <w:rFonts w:ascii="Times New Roman" w:hAnsi="Times New Roman" w:cs="Times New Roman"/>
          <w:sz w:val="20"/>
        </w:rPr>
      </w:pPr>
      <w:r>
        <w:rPr>
          <w:rFonts w:ascii="Times New Roman" w:hAnsi="Times New Roman" w:cs="Times New Roman"/>
          <w:sz w:val="20"/>
        </w:rPr>
        <w:t>Both SFBC and precoder cycling generally p</w:t>
      </w:r>
      <w:r w:rsidRPr="00710043">
        <w:rPr>
          <w:rFonts w:ascii="Times New Roman" w:hAnsi="Times New Roman" w:cs="Times New Roman"/>
          <w:sz w:val="20"/>
        </w:rPr>
        <w:t>roduce rank 2 interference to neighbor cells</w:t>
      </w:r>
    </w:p>
    <w:p w14:paraId="2F85D0DC" w14:textId="52C9E0EC" w:rsidR="00C3631C" w:rsidRDefault="00C3631C" w:rsidP="00C3631C">
      <w:pPr>
        <w:pStyle w:val="ListParagraph"/>
        <w:numPr>
          <w:ilvl w:val="1"/>
          <w:numId w:val="25"/>
        </w:numPr>
        <w:rPr>
          <w:rFonts w:ascii="Times New Roman" w:hAnsi="Times New Roman" w:cs="Times New Roman"/>
          <w:sz w:val="20"/>
        </w:rPr>
      </w:pPr>
      <w:r>
        <w:rPr>
          <w:rFonts w:ascii="Times New Roman" w:hAnsi="Times New Roman" w:cs="Times New Roman"/>
          <w:sz w:val="20"/>
        </w:rPr>
        <w:t>Rank 1 is possible in theory, but e.g. rate matching</w:t>
      </w:r>
      <w:r w:rsidR="00740E7A">
        <w:rPr>
          <w:rFonts w:ascii="Times New Roman" w:hAnsi="Times New Roman" w:cs="Times New Roman"/>
          <w:sz w:val="20"/>
        </w:rPr>
        <w:t>, single antenna transmission, variable slot sizes, or different numerology may</w:t>
      </w:r>
      <w:r w:rsidR="00150902">
        <w:rPr>
          <w:rFonts w:ascii="Times New Roman" w:hAnsi="Times New Roman" w:cs="Times New Roman"/>
          <w:sz w:val="20"/>
        </w:rPr>
        <w:t xml:space="preserve"> preclude </w:t>
      </w:r>
      <w:r>
        <w:rPr>
          <w:rFonts w:ascii="Times New Roman" w:hAnsi="Times New Roman" w:cs="Times New Roman"/>
          <w:sz w:val="20"/>
        </w:rPr>
        <w:t xml:space="preserve">this in </w:t>
      </w:r>
      <w:r w:rsidR="00740E7A">
        <w:rPr>
          <w:rFonts w:ascii="Times New Roman" w:hAnsi="Times New Roman" w:cs="Times New Roman"/>
          <w:sz w:val="20"/>
        </w:rPr>
        <w:t>NR</w:t>
      </w:r>
    </w:p>
    <w:p w14:paraId="2021851B" w14:textId="7623F32D" w:rsidR="00A5248E" w:rsidRDefault="00A5248E" w:rsidP="00A5248E">
      <w:pPr>
        <w:pStyle w:val="Heading3"/>
      </w:pPr>
      <w:r>
        <w:t>Spatial Multiplexing Schemes</w:t>
      </w:r>
    </w:p>
    <w:p w14:paraId="633D5F3A" w14:textId="0C31D819" w:rsidR="00AD0301" w:rsidRDefault="00F855A3" w:rsidP="00760E2E">
      <w:pPr>
        <w:jc w:val="both"/>
      </w:pPr>
      <w:r>
        <w:t xml:space="preserve">Single codeword transmission is used in NR for up to rank 4 </w:t>
      </w:r>
      <w:r w:rsidR="00C5003D">
        <w:fldChar w:fldCharType="begin"/>
      </w:r>
      <w:r w:rsidR="00C5003D">
        <w:instrText xml:space="preserve"> REF _Ref477889777 \r \h </w:instrText>
      </w:r>
      <w:r w:rsidR="00C5003D">
        <w:fldChar w:fldCharType="separate"/>
      </w:r>
      <w:r w:rsidR="00DB608E">
        <w:t>[10]</w:t>
      </w:r>
      <w:r w:rsidR="00C5003D">
        <w:fldChar w:fldCharType="end"/>
      </w:r>
      <w:r>
        <w:t xml:space="preserve">.  Therefore, NR codewords obtain diversity automatically by being mapped across different layers.  </w:t>
      </w:r>
      <w:r w:rsidR="00AD0301">
        <w:t xml:space="preserve">Note that spatially multiplexed transmission can also use transparent diversity such as per-PRG precoder cycling if desired.  </w:t>
      </w:r>
      <w:r w:rsidR="00150902">
        <w:t>Similarly, per-RE beam cycling could also be used on top of single codeword transmission.  Howe</w:t>
      </w:r>
      <w:r w:rsidR="003C6EC1">
        <w:t xml:space="preserve">ver, even closed loop schemes have limited gains from frequency selective beams, and so open loop beam selection would have negligible gain. Therefore, </w:t>
      </w:r>
      <w:r w:rsidR="00AD0301">
        <w:t>specifying diversity schemes on top of single codeword transmission seems u</w:t>
      </w:r>
      <w:r w:rsidR="003C6EC1">
        <w:t>nnecessary, and long term beamforming can be applied on all ports except the 2 polarization ports.</w:t>
      </w:r>
    </w:p>
    <w:p w14:paraId="431E8F4B" w14:textId="77777777" w:rsidR="00AD0301" w:rsidRDefault="00AD0301" w:rsidP="00760E2E">
      <w:pPr>
        <w:jc w:val="both"/>
      </w:pPr>
    </w:p>
    <w:p w14:paraId="1A19A6A6" w14:textId="2C1D9E5B" w:rsidR="00F855A3" w:rsidRDefault="00F855A3" w:rsidP="00760E2E">
      <w:pPr>
        <w:jc w:val="both"/>
      </w:pPr>
      <w:r>
        <w:t xml:space="preserve">Techniques such as large delay CDD and layer permutation could be used for ranks 5 to 8, but such diversity gains would likely be very modest, and such high ranks usually have very good channel conditions and link adaptation, such that diversity is not needed or </w:t>
      </w:r>
      <w:r w:rsidR="00EB1B16">
        <w:t xml:space="preserve">could </w:t>
      </w:r>
      <w:r>
        <w:t xml:space="preserve">actually </w:t>
      </w:r>
      <w:r w:rsidR="00EB1B16">
        <w:t xml:space="preserve">be </w:t>
      </w:r>
      <w:r>
        <w:t>harmful to performance.</w:t>
      </w:r>
    </w:p>
    <w:p w14:paraId="5D264411" w14:textId="77777777" w:rsidR="002266E8" w:rsidRPr="002266E8" w:rsidRDefault="002266E8" w:rsidP="002266E8"/>
    <w:p w14:paraId="200E26E8" w14:textId="77777777" w:rsidR="00A5248E" w:rsidRDefault="00A5248E" w:rsidP="00A5248E">
      <w:pPr>
        <w:pStyle w:val="BodyText"/>
        <w:spacing w:after="0"/>
      </w:pPr>
      <w:r w:rsidRPr="00601239">
        <w:rPr>
          <w:b/>
        </w:rPr>
        <w:t>Observation</w:t>
      </w:r>
      <w:r>
        <w:rPr>
          <w:b/>
        </w:rPr>
        <w:t>s</w:t>
      </w:r>
      <w:r>
        <w:t>:</w:t>
      </w:r>
    </w:p>
    <w:p w14:paraId="58DC14B5" w14:textId="49062A7C" w:rsidR="00F855A3" w:rsidRDefault="00F855A3" w:rsidP="00A5248E">
      <w:pPr>
        <w:pStyle w:val="BodyText"/>
        <w:numPr>
          <w:ilvl w:val="0"/>
          <w:numId w:val="24"/>
        </w:numPr>
        <w:spacing w:after="0"/>
      </w:pPr>
      <w:r>
        <w:t>The use of single codeword transmission for ranks 1-4 provides sufficient diversity</w:t>
      </w:r>
      <w:r w:rsidR="00AD0301">
        <w:t xml:space="preserve"> for spatially multiplexed transmissions</w:t>
      </w:r>
    </w:p>
    <w:p w14:paraId="0C98C485" w14:textId="1E504845" w:rsidR="00AD0301" w:rsidRDefault="00AD0301" w:rsidP="00AD0301">
      <w:pPr>
        <w:pStyle w:val="BodyText"/>
        <w:numPr>
          <w:ilvl w:val="0"/>
          <w:numId w:val="24"/>
        </w:numPr>
        <w:spacing w:after="0"/>
      </w:pPr>
      <w:r>
        <w:t>Techniques such as large delay CDD or layer permutation are not needed when 2 codewords are used for ranks 5-8</w:t>
      </w:r>
    </w:p>
    <w:p w14:paraId="59F746E1" w14:textId="54B5ADDF" w:rsidR="00A5248E" w:rsidRDefault="00A5248E" w:rsidP="00A5248E">
      <w:pPr>
        <w:pStyle w:val="BodyText"/>
        <w:numPr>
          <w:ilvl w:val="0"/>
          <w:numId w:val="24"/>
        </w:numPr>
        <w:spacing w:after="0"/>
      </w:pPr>
      <w:r>
        <w:t xml:space="preserve">For OL MIMO with 2D </w:t>
      </w:r>
      <w:r w:rsidR="009F542F">
        <w:t xml:space="preserve">cross-pol </w:t>
      </w:r>
      <w:r>
        <w:t xml:space="preserve">arrays, </w:t>
      </w:r>
      <w:r w:rsidR="002B5A39">
        <w:t xml:space="preserve">at most rank 2 (using </w:t>
      </w:r>
      <w:r w:rsidR="00D20138">
        <w:t>two port DMRS</w:t>
      </w:r>
      <w:r w:rsidR="002B5A39">
        <w:t>)</w:t>
      </w:r>
      <w:r w:rsidR="00D20138">
        <w:t xml:space="preserve"> </w:t>
      </w:r>
      <w:r>
        <w:t xml:space="preserve">is sufficient </w:t>
      </w:r>
    </w:p>
    <w:p w14:paraId="7E671334" w14:textId="6AA0D285" w:rsidR="00A5248E" w:rsidRDefault="00A5248E" w:rsidP="00A5248E">
      <w:pPr>
        <w:pStyle w:val="BodyText"/>
        <w:numPr>
          <w:ilvl w:val="1"/>
          <w:numId w:val="24"/>
        </w:numPr>
        <w:spacing w:after="0"/>
      </w:pPr>
      <w:r>
        <w:t xml:space="preserve">Long term beamforming can be applied on all ports except </w:t>
      </w:r>
      <w:r w:rsidR="002B5A39">
        <w:t xml:space="preserve">across </w:t>
      </w:r>
      <w:r>
        <w:t>the polarization ports</w:t>
      </w:r>
    </w:p>
    <w:p w14:paraId="4DE709DF" w14:textId="77777777" w:rsidR="005C5FFA" w:rsidRDefault="005C5FFA" w:rsidP="005C5FFA">
      <w:pPr>
        <w:pStyle w:val="Heading1"/>
      </w:pPr>
      <w:r>
        <w:t>Use Cases for (Semi-)Open Loop Transmission</w:t>
      </w:r>
    </w:p>
    <w:p w14:paraId="337294F1" w14:textId="1F22CC44" w:rsidR="005C5FFA" w:rsidRDefault="005C5FFA" w:rsidP="005C5FFA">
      <w:pPr>
        <w:pStyle w:val="BodyText"/>
      </w:pPr>
      <w:r>
        <w:t xml:space="preserve">Coherent multi-TXRU PDSCH to a UE transmission always outperforms diversity PDSCH transmission to that UE when accurate CSI is available at eNB.  Accurate CSI can be obtained when it is transmitted frequently enough to track fading among the diversity elements.  This is possible when the overhead of the CSI is low enough, the UE is moving slowly enough, and/or CSI feedback is fast enough.  When large packets are transmitted to the UE over multiple subframes, the CSI overhead and latency can be relatively low.  Note that CSI from even high velocity UEs can be tracked if reporting fast CSI in the same subframe reporting </w:t>
      </w:r>
      <w:r w:rsidR="004E3E65">
        <w:fldChar w:fldCharType="begin"/>
      </w:r>
      <w:r w:rsidR="004E3E65">
        <w:instrText xml:space="preserve"> REF _Ref471722274 \r \h </w:instrText>
      </w:r>
      <w:r w:rsidR="004E3E65">
        <w:fldChar w:fldCharType="separate"/>
      </w:r>
      <w:r w:rsidR="00DB608E">
        <w:t>[3]</w:t>
      </w:r>
      <w:r w:rsidR="004E3E65">
        <w:fldChar w:fldCharType="end"/>
      </w:r>
      <w:r>
        <w:t xml:space="preserve"> is used in NR.  However, if PDSCH is very bursty, being infrequently transmitted in one slot or a mini-slot at a time, then it is difficult for CSI to track any changes in the channel.  Additionally, if PDSCH is to be broadcast or multicast to many UEs, then UE specific precoding is not beneficial, although diversity transmission may be beneficial.</w:t>
      </w:r>
    </w:p>
    <w:p w14:paraId="4DC8AEBA" w14:textId="2E9AFCDA" w:rsidR="00C96A7A" w:rsidRDefault="005C5FFA" w:rsidP="005C5FFA">
      <w:pPr>
        <w:pStyle w:val="BodyText"/>
      </w:pPr>
      <w:r>
        <w:t xml:space="preserve">Spatial diversity gains are a strong function of the required reliability and amount of frequency and time diversity already available.  Consequently, the most benefit from diversity is to be expected when highly reliable transmission, and/or low latency are required, or there is insufficient delay spread to provide good frequency diversity.  </w:t>
      </w:r>
      <w:r w:rsidR="00C96A7A">
        <w:t>Therefore, d</w:t>
      </w:r>
      <w:r w:rsidR="00C96A7A" w:rsidRPr="00C96A7A">
        <w:t>iversity is a key mechanism for providing u</w:t>
      </w:r>
      <w:r w:rsidR="00C96A7A">
        <w:t xml:space="preserve">ltra-high reliability for URLLC </w:t>
      </w:r>
      <w:r w:rsidR="00C96A7A">
        <w:fldChar w:fldCharType="begin"/>
      </w:r>
      <w:r w:rsidR="00C96A7A">
        <w:instrText xml:space="preserve"> REF _Ref471135429 \r \h </w:instrText>
      </w:r>
      <w:r w:rsidR="00C96A7A">
        <w:fldChar w:fldCharType="separate"/>
      </w:r>
      <w:r w:rsidR="00DB608E">
        <w:t>[4]</w:t>
      </w:r>
      <w:r w:rsidR="00C96A7A">
        <w:fldChar w:fldCharType="end"/>
      </w:r>
      <w:r w:rsidR="00C96A7A">
        <w:t>.</w:t>
      </w:r>
      <w:r w:rsidR="00E62D2B">
        <w:t xml:space="preserve">  However, as will be discussed more in the following section, a need for a specified TxD scheme has not yet been identified in RAN1 discussions.</w:t>
      </w:r>
    </w:p>
    <w:p w14:paraId="11E89ADF" w14:textId="77777777" w:rsidR="005C5FFA" w:rsidRDefault="005C5FFA" w:rsidP="005C5FFA">
      <w:pPr>
        <w:pStyle w:val="BodyText"/>
        <w:keepNext/>
        <w:spacing w:after="0"/>
      </w:pPr>
      <w:r w:rsidRPr="0092598B">
        <w:rPr>
          <w:b/>
        </w:rPr>
        <w:lastRenderedPageBreak/>
        <w:t>Observation</w:t>
      </w:r>
      <w:r>
        <w:rPr>
          <w:b/>
        </w:rPr>
        <w:t>s</w:t>
      </w:r>
      <w:r>
        <w:t>:</w:t>
      </w:r>
    </w:p>
    <w:p w14:paraId="238A124A" w14:textId="77777777" w:rsidR="005C5FFA" w:rsidRDefault="005C5FFA" w:rsidP="005C5FFA">
      <w:pPr>
        <w:pStyle w:val="BodyText"/>
        <w:keepNext/>
        <w:numPr>
          <w:ilvl w:val="0"/>
          <w:numId w:val="24"/>
        </w:numPr>
        <w:spacing w:after="0"/>
      </w:pPr>
      <w:r>
        <w:t>TxD is not beneficial under all conditions</w:t>
      </w:r>
    </w:p>
    <w:p w14:paraId="02EC59FB" w14:textId="3B6D7447" w:rsidR="005C5FFA" w:rsidRDefault="005C5FFA" w:rsidP="005C5FFA">
      <w:pPr>
        <w:pStyle w:val="BodyText"/>
        <w:numPr>
          <w:ilvl w:val="1"/>
          <w:numId w:val="24"/>
        </w:numPr>
        <w:spacing w:after="0"/>
      </w:pPr>
      <w:r>
        <w:t xml:space="preserve">It tends to perform worse </w:t>
      </w:r>
      <w:r w:rsidR="008B693F">
        <w:t xml:space="preserve">than </w:t>
      </w:r>
      <w:r>
        <w:t>precoding / co-phasing for unicast transmission when good CSI is available</w:t>
      </w:r>
    </w:p>
    <w:p w14:paraId="4044B565" w14:textId="62E7F860" w:rsidR="005C5FFA" w:rsidRDefault="005C5FFA" w:rsidP="005C5FFA">
      <w:pPr>
        <w:pStyle w:val="BodyText"/>
        <w:numPr>
          <w:ilvl w:val="0"/>
          <w:numId w:val="24"/>
        </w:numPr>
        <w:spacing w:after="0"/>
      </w:pPr>
      <w:r>
        <w:t>Low latency, hig</w:t>
      </w:r>
      <w:r w:rsidR="00B652AC">
        <w:t xml:space="preserve">h reliability applications seems one of the most promising use cases for </w:t>
      </w:r>
      <w:r>
        <w:t>TxD</w:t>
      </w:r>
    </w:p>
    <w:p w14:paraId="78305FBA" w14:textId="2E5EA961" w:rsidR="00E62D2B" w:rsidRDefault="00E62D2B" w:rsidP="00E62D2B">
      <w:pPr>
        <w:pStyle w:val="BodyText"/>
        <w:numPr>
          <w:ilvl w:val="1"/>
          <w:numId w:val="24"/>
        </w:numPr>
        <w:spacing w:after="0"/>
      </w:pPr>
      <w:r>
        <w:t>However, a need for a specified TxD scheme to meet the requirements for these applications has not been identified yet.</w:t>
      </w:r>
    </w:p>
    <w:p w14:paraId="5B047E5B" w14:textId="77777777" w:rsidR="006C6B3C" w:rsidRDefault="006C6B3C" w:rsidP="005E5564">
      <w:pPr>
        <w:pStyle w:val="BodyText"/>
        <w:spacing w:after="0"/>
      </w:pPr>
    </w:p>
    <w:p w14:paraId="1FB38A33" w14:textId="7853258A" w:rsidR="00BF068E" w:rsidRDefault="00F55931" w:rsidP="005C5FFA">
      <w:pPr>
        <w:pStyle w:val="BodyText"/>
      </w:pPr>
      <w:r>
        <w:t>As discussed above, SFBC outperforms precoder cycling</w:t>
      </w:r>
      <w:r w:rsidR="00062A46">
        <w:t xml:space="preserve"> especially at higher code rates, and precoder cycling on a per-PRG basis is possible by eNB implementation.  </w:t>
      </w:r>
      <w:r w:rsidR="004369EC">
        <w:t xml:space="preserve">Given the potential code rate variability of </w:t>
      </w:r>
      <w:r w:rsidR="00062A46">
        <w:t xml:space="preserve">URLLC </w:t>
      </w:r>
      <w:r w:rsidR="004369EC">
        <w:t>applications</w:t>
      </w:r>
      <w:r w:rsidR="00176781">
        <w:t xml:space="preserve"> </w:t>
      </w:r>
      <w:r w:rsidR="007330B5">
        <w:t xml:space="preserve">e.g. </w:t>
      </w:r>
      <w:r w:rsidR="00360994">
        <w:t>due to rate matching</w:t>
      </w:r>
      <w:r w:rsidR="004369EC">
        <w:t>, SFBC seems to have greater potential than precoder cycling schemes.</w:t>
      </w:r>
      <w:r w:rsidR="00BC788B">
        <w:t xml:space="preserve">  However, as consensus could not be reached </w:t>
      </w:r>
      <w:r w:rsidR="00E62D2B">
        <w:t xml:space="preserve">on the need for a </w:t>
      </w:r>
      <w:r w:rsidR="00BC788B">
        <w:t>TxD scheme</w:t>
      </w:r>
      <w:r w:rsidR="00E62D2B">
        <w:t xml:space="preserve"> for URLLC</w:t>
      </w:r>
      <w:r w:rsidR="00BC788B">
        <w:t xml:space="preserve">, </w:t>
      </w:r>
      <w:r w:rsidR="00E62D2B">
        <w:t xml:space="preserve">future </w:t>
      </w:r>
      <w:r w:rsidR="00BC788B">
        <w:t xml:space="preserve">simulations </w:t>
      </w:r>
      <w:r w:rsidR="00E62D2B">
        <w:t>c</w:t>
      </w:r>
      <w:r w:rsidR="00BC788B">
        <w:t xml:space="preserve">ould focus on relevant use cases </w:t>
      </w:r>
      <w:r w:rsidR="00E62D2B">
        <w:t xml:space="preserve">where TxD has potential benefit.  More details on high speed rural and URLLC scenarios that </w:t>
      </w:r>
      <w:r w:rsidR="00BC788B">
        <w:t>seem</w:t>
      </w:r>
      <w:r w:rsidR="00E62D2B">
        <w:t xml:space="preserve"> useful for further evaluations can be found in</w:t>
      </w:r>
      <w:r w:rsidR="00660E22">
        <w:t xml:space="preserve"> </w:t>
      </w:r>
      <w:r w:rsidR="00660E22">
        <w:fldChar w:fldCharType="begin"/>
      </w:r>
      <w:r w:rsidR="00660E22">
        <w:instrText xml:space="preserve"> REF _Ref481739701 \r \h </w:instrText>
      </w:r>
      <w:r w:rsidR="00660E22">
        <w:fldChar w:fldCharType="separate"/>
      </w:r>
      <w:r w:rsidR="00DB608E">
        <w:t>[7]</w:t>
      </w:r>
      <w:r w:rsidR="00660E22">
        <w:fldChar w:fldCharType="end"/>
      </w:r>
      <w:r w:rsidR="00BC788B">
        <w:t xml:space="preserve">.  </w:t>
      </w:r>
    </w:p>
    <w:p w14:paraId="4F0F0CD5" w14:textId="1093B383" w:rsidR="004F66AA" w:rsidRDefault="004F66AA" w:rsidP="004F66AA">
      <w:pPr>
        <w:pStyle w:val="Heading1"/>
      </w:pPr>
      <w:r>
        <w:t>Developments in RAN1</w:t>
      </w:r>
      <w:r w:rsidR="00782664">
        <w:t>, Observations,</w:t>
      </w:r>
      <w:r>
        <w:t xml:space="preserve"> and Way Forward</w:t>
      </w:r>
    </w:p>
    <w:p w14:paraId="760D9C8F" w14:textId="6919CF78" w:rsidR="00DB2124" w:rsidRDefault="00DB2124" w:rsidP="00DB2124">
      <w:pPr>
        <w:pStyle w:val="Heading2"/>
      </w:pPr>
      <w:r>
        <w:t>Developments in RAN1</w:t>
      </w:r>
    </w:p>
    <w:p w14:paraId="0F6C1EAC" w14:textId="28D415AC" w:rsidR="004F66AA" w:rsidRDefault="004F66AA" w:rsidP="004F66AA">
      <w:pPr>
        <w:pStyle w:val="BodyText"/>
      </w:pPr>
      <w:r>
        <w:t xml:space="preserve">We first observe that both PDCCH and PBCH use single port transmission, according to </w:t>
      </w:r>
      <w:r w:rsidR="00DF3D0C">
        <w:t xml:space="preserve">the working assumptions </w:t>
      </w:r>
      <w:r>
        <w:t>in RAN1#88bis.  Since PDSCH relies on PDCCH and PBCH to be received at all, and since they are not able to exploit link adaptation to the degree that PDSCH can, the use of transmit diversity for these channels is normally considered more important than for PDSCH.  Therefore, we see no motivation to use non-transparent Tx diversity for PDSCH in Rel-15.</w:t>
      </w:r>
    </w:p>
    <w:p w14:paraId="614FDB88" w14:textId="77777777" w:rsidR="00243B92" w:rsidRDefault="00243B92" w:rsidP="00243B92">
      <w:pPr>
        <w:pStyle w:val="BodyText"/>
        <w:spacing w:after="0"/>
      </w:pPr>
      <w:r w:rsidRPr="00243B92">
        <w:rPr>
          <w:b/>
        </w:rPr>
        <w:t>Observations</w:t>
      </w:r>
      <w:r>
        <w:t>:</w:t>
      </w:r>
    </w:p>
    <w:p w14:paraId="4FA5DA81" w14:textId="6B5028BF" w:rsidR="00243B92" w:rsidRDefault="00243B92" w:rsidP="00243B92">
      <w:pPr>
        <w:pStyle w:val="BodyText"/>
        <w:numPr>
          <w:ilvl w:val="0"/>
          <w:numId w:val="46"/>
        </w:numPr>
        <w:spacing w:after="0"/>
      </w:pPr>
      <w:r>
        <w:t xml:space="preserve">PDCCH and PBCH support at most 1 </w:t>
      </w:r>
      <w:r w:rsidR="00B44509">
        <w:t xml:space="preserve">antenna </w:t>
      </w:r>
      <w:r>
        <w:t>port in Rel-15 NR</w:t>
      </w:r>
    </w:p>
    <w:p w14:paraId="28BC687F" w14:textId="77777777" w:rsidR="00243B92" w:rsidRDefault="00243B92" w:rsidP="00243B92">
      <w:pPr>
        <w:pStyle w:val="BodyText"/>
        <w:numPr>
          <w:ilvl w:val="0"/>
          <w:numId w:val="46"/>
        </w:numPr>
        <w:spacing w:after="0"/>
      </w:pPr>
      <w:r>
        <w:t>DL control channels typically benefit more from TxD than shared channels</w:t>
      </w:r>
    </w:p>
    <w:p w14:paraId="5F019D9C" w14:textId="77777777" w:rsidR="00243B92" w:rsidRDefault="00243B92" w:rsidP="00243B92">
      <w:pPr>
        <w:pStyle w:val="BodyText"/>
        <w:numPr>
          <w:ilvl w:val="0"/>
          <w:numId w:val="46"/>
        </w:numPr>
      </w:pPr>
      <w:r>
        <w:t>Therefore, non-transparent TxD does not appear motivated for PDSCH in Rel-15</w:t>
      </w:r>
    </w:p>
    <w:p w14:paraId="41E1776A" w14:textId="017DCB16" w:rsidR="004F66AA" w:rsidRDefault="004F66AA" w:rsidP="004F66AA">
      <w:pPr>
        <w:pStyle w:val="BodyText"/>
      </w:pPr>
      <w:r>
        <w:t xml:space="preserve">Open loop and semi-open loop operation are to be supported in NR </w:t>
      </w:r>
      <w:r w:rsidR="002531E0">
        <w:fldChar w:fldCharType="begin"/>
      </w:r>
      <w:r w:rsidR="002531E0">
        <w:instrText xml:space="preserve"> REF _Ref481740395 \r \h </w:instrText>
      </w:r>
      <w:r w:rsidR="002531E0">
        <w:fldChar w:fldCharType="separate"/>
      </w:r>
      <w:r w:rsidR="00DB608E">
        <w:t>[9]</w:t>
      </w:r>
      <w:r w:rsidR="002531E0">
        <w:fldChar w:fldCharType="end"/>
      </w:r>
      <w:r>
        <w:t xml:space="preserve">.  A simple way to accomplish this for open loop is to use non-PMI reporting CSI reporting. For semi-open loop, </w:t>
      </w:r>
      <w:r w:rsidR="006118E1">
        <w:t xml:space="preserve">a </w:t>
      </w:r>
      <w:r>
        <w:t>similarly simple way is through wideband reporting and codebook subset restriction of W2, in which case the CSI reporting is aligned at eNB and UE.  Precoder cycling or delay diversity can be supported transparently through virtualization of DMRS and/or CSI-RS.  Admittedly, this is not optimal in terms of CSI overhead for semi-open loop, since W2 is still reported (because codebook subset restriction does not normally alter payload size).  On the other hand, scenarios where many UEs require semi-open loop operation in a cell are not clear, as discussed above, and so wideband CSI overhead from UEs configured for semi-open loop may not be a significant issue.</w:t>
      </w:r>
    </w:p>
    <w:p w14:paraId="01AEE990" w14:textId="4DD3A5A1" w:rsidR="004F66AA" w:rsidRDefault="004F66AA" w:rsidP="004F66AA">
      <w:pPr>
        <w:pStyle w:val="BodyText"/>
      </w:pPr>
      <w:r>
        <w:t xml:space="preserve">There are a wide variety of possible ways to implement OL/semi-OL, as can be seen in the joint proposal </w:t>
      </w:r>
      <w:r w:rsidR="00F66F9A">
        <w:fldChar w:fldCharType="begin"/>
      </w:r>
      <w:r w:rsidR="00F66F9A">
        <w:instrText xml:space="preserve"> REF _Ref481740670 \r \h </w:instrText>
      </w:r>
      <w:r w:rsidR="00F66F9A">
        <w:fldChar w:fldCharType="separate"/>
      </w:r>
      <w:r w:rsidR="00DB608E">
        <w:t>[8]</w:t>
      </w:r>
      <w:r w:rsidR="00F66F9A">
        <w:fldChar w:fldCharType="end"/>
      </w:r>
      <w:r w:rsidR="000C323F">
        <w:t xml:space="preserve"> copied below</w:t>
      </w:r>
      <w:r>
        <w:t>, where CRI, W11/W12, W1, or W1 and W2 are candidate parameters for both beam direction information and for cycling.</w:t>
      </w:r>
    </w:p>
    <w:p w14:paraId="2E42FACD" w14:textId="77777777" w:rsidR="004F66AA" w:rsidRPr="003863F0" w:rsidRDefault="004F66AA" w:rsidP="004F66AA">
      <w:pPr>
        <w:pStyle w:val="BodyText"/>
        <w:numPr>
          <w:ilvl w:val="0"/>
          <w:numId w:val="44"/>
        </w:numPr>
        <w:spacing w:after="0"/>
      </w:pPr>
      <w:r w:rsidRPr="003863F0">
        <w:t>Support following CSI calculation and reporting for TS2.</w:t>
      </w:r>
    </w:p>
    <w:p w14:paraId="5A9C5ADF" w14:textId="77777777" w:rsidR="004F66AA" w:rsidRPr="003863F0" w:rsidRDefault="004F66AA" w:rsidP="004F66AA">
      <w:pPr>
        <w:pStyle w:val="BodyText"/>
        <w:numPr>
          <w:ilvl w:val="1"/>
          <w:numId w:val="44"/>
        </w:numPr>
        <w:spacing w:after="0"/>
      </w:pPr>
      <w:r w:rsidRPr="003863F0">
        <w:t>CSI reporting parameters include RI, CQI, and beam direction related information.</w:t>
      </w:r>
    </w:p>
    <w:p w14:paraId="3B570A08" w14:textId="77777777" w:rsidR="004F66AA" w:rsidRPr="003863F0" w:rsidRDefault="004F66AA" w:rsidP="004F66AA">
      <w:pPr>
        <w:pStyle w:val="BodyText"/>
        <w:numPr>
          <w:ilvl w:val="2"/>
          <w:numId w:val="44"/>
        </w:numPr>
        <w:spacing w:after="0"/>
      </w:pPr>
      <w:r w:rsidRPr="003863F0">
        <w:t>Reporting of beam direction related information can be configured by gNB</w:t>
      </w:r>
    </w:p>
    <w:p w14:paraId="1528B9C3" w14:textId="77777777" w:rsidR="004F66AA" w:rsidRPr="003863F0" w:rsidRDefault="004F66AA" w:rsidP="004F66AA">
      <w:pPr>
        <w:pStyle w:val="BodyText"/>
        <w:numPr>
          <w:ilvl w:val="3"/>
          <w:numId w:val="44"/>
        </w:numPr>
        <w:spacing w:after="0"/>
      </w:pPr>
      <w:r w:rsidRPr="003863F0">
        <w:t>No reporting of beam direction related information is supported for OL MIMO</w:t>
      </w:r>
    </w:p>
    <w:p w14:paraId="566B340C" w14:textId="77777777" w:rsidR="004F66AA" w:rsidRPr="003863F0" w:rsidRDefault="004F66AA" w:rsidP="004F66AA">
      <w:pPr>
        <w:pStyle w:val="BodyText"/>
        <w:numPr>
          <w:ilvl w:val="3"/>
          <w:numId w:val="44"/>
        </w:numPr>
        <w:spacing w:after="0"/>
      </w:pPr>
      <w:r w:rsidRPr="003863F0">
        <w:t>The following can be considered beam direction related information for semi-OL MIMO</w:t>
      </w:r>
    </w:p>
    <w:p w14:paraId="69B891C4" w14:textId="77777777" w:rsidR="004F66AA" w:rsidRPr="003863F0" w:rsidRDefault="004F66AA" w:rsidP="004F66AA">
      <w:pPr>
        <w:pStyle w:val="BodyText"/>
        <w:numPr>
          <w:ilvl w:val="4"/>
          <w:numId w:val="44"/>
        </w:numPr>
        <w:spacing w:after="0"/>
      </w:pPr>
      <w:r w:rsidRPr="003863F0">
        <w:t>CRI, W11/W12, W1 or W1 and W2</w:t>
      </w:r>
    </w:p>
    <w:p w14:paraId="68BCEB23" w14:textId="77777777" w:rsidR="004F66AA" w:rsidRPr="003863F0" w:rsidRDefault="004F66AA" w:rsidP="004F66AA">
      <w:pPr>
        <w:pStyle w:val="BodyText"/>
        <w:numPr>
          <w:ilvl w:val="1"/>
          <w:numId w:val="44"/>
        </w:numPr>
        <w:spacing w:after="0"/>
      </w:pPr>
      <w:r w:rsidRPr="003863F0">
        <w:t>CSI is calculated, assuming beam cycling in a given pattern:</w:t>
      </w:r>
    </w:p>
    <w:p w14:paraId="32957CE0" w14:textId="77777777" w:rsidR="004F66AA" w:rsidRPr="003863F0" w:rsidRDefault="004F66AA" w:rsidP="004F66AA">
      <w:pPr>
        <w:pStyle w:val="BodyText"/>
        <w:numPr>
          <w:ilvl w:val="2"/>
          <w:numId w:val="44"/>
        </w:numPr>
        <w:spacing w:after="0"/>
      </w:pPr>
      <w:r w:rsidRPr="003863F0">
        <w:t>Cycling the following parameters can be considered for beam cycling:</w:t>
      </w:r>
    </w:p>
    <w:p w14:paraId="2BE46B14" w14:textId="77777777" w:rsidR="004F66AA" w:rsidRPr="003863F0" w:rsidRDefault="004F66AA" w:rsidP="004F66AA">
      <w:pPr>
        <w:pStyle w:val="BodyText"/>
        <w:numPr>
          <w:ilvl w:val="3"/>
          <w:numId w:val="44"/>
        </w:numPr>
        <w:spacing w:after="0"/>
      </w:pPr>
      <w:r w:rsidRPr="003863F0">
        <w:t>CRI</w:t>
      </w:r>
    </w:p>
    <w:p w14:paraId="74EC9F9A" w14:textId="77777777" w:rsidR="004F66AA" w:rsidRPr="003863F0" w:rsidRDefault="004F66AA" w:rsidP="004F66AA">
      <w:pPr>
        <w:pStyle w:val="BodyText"/>
        <w:numPr>
          <w:ilvl w:val="3"/>
          <w:numId w:val="44"/>
        </w:numPr>
        <w:spacing w:after="0"/>
      </w:pPr>
      <w:r w:rsidRPr="003863F0">
        <w:t>W12/W11 and W2</w:t>
      </w:r>
    </w:p>
    <w:p w14:paraId="34B3BFC5" w14:textId="77777777" w:rsidR="004F66AA" w:rsidRPr="003863F0" w:rsidRDefault="004F66AA" w:rsidP="004F66AA">
      <w:pPr>
        <w:pStyle w:val="BodyText"/>
        <w:numPr>
          <w:ilvl w:val="3"/>
          <w:numId w:val="44"/>
        </w:numPr>
        <w:spacing w:after="0"/>
      </w:pPr>
      <w:r w:rsidRPr="003863F0">
        <w:t>W2</w:t>
      </w:r>
    </w:p>
    <w:p w14:paraId="6ED0C6E6" w14:textId="77777777" w:rsidR="004F66AA" w:rsidRPr="003863F0" w:rsidRDefault="004F66AA" w:rsidP="004F66AA">
      <w:pPr>
        <w:pStyle w:val="BodyText"/>
        <w:numPr>
          <w:ilvl w:val="3"/>
          <w:numId w:val="44"/>
        </w:numPr>
        <w:spacing w:after="0"/>
      </w:pPr>
      <w:r w:rsidRPr="003863F0">
        <w:t>Inter-panel phase</w:t>
      </w:r>
    </w:p>
    <w:p w14:paraId="5A6B59B1" w14:textId="77777777" w:rsidR="004F66AA" w:rsidRPr="003863F0" w:rsidRDefault="004F66AA" w:rsidP="004F66AA">
      <w:pPr>
        <w:pStyle w:val="BodyText"/>
        <w:numPr>
          <w:ilvl w:val="2"/>
          <w:numId w:val="44"/>
        </w:numPr>
        <w:spacing w:after="0"/>
      </w:pPr>
      <w:r w:rsidRPr="003863F0">
        <w:t>FFS how to determine cycling pattern (e.g. gNB indication, or predefined pattern)</w:t>
      </w:r>
    </w:p>
    <w:p w14:paraId="635CCA1E" w14:textId="77777777" w:rsidR="004F66AA" w:rsidRPr="003863F0" w:rsidRDefault="004F66AA" w:rsidP="004F66AA">
      <w:pPr>
        <w:pStyle w:val="BodyText"/>
        <w:numPr>
          <w:ilvl w:val="2"/>
          <w:numId w:val="44"/>
        </w:numPr>
        <w:spacing w:after="0"/>
      </w:pPr>
      <w:r w:rsidRPr="003863F0">
        <w:t>FFS the resource granularity of beam cycling</w:t>
      </w:r>
    </w:p>
    <w:p w14:paraId="423A2B86" w14:textId="75231810" w:rsidR="004F66AA" w:rsidRDefault="004F66AA" w:rsidP="004F66AA">
      <w:pPr>
        <w:pStyle w:val="BodyText"/>
      </w:pPr>
      <w:r>
        <w:lastRenderedPageBreak/>
        <w:t xml:space="preserve">Given the lack of motivation for TxD in Rel-15 observed above, if beam direction information is not reported and some assumption on the unreported CSI is needed, the assumption should be as simple as possible.  One candidate could be what is done in LTE Rel-14, where beam selection components for W2 are fixed by codebook subset selection, but cophasing is accounted for.  If SFBC is not used, then a single mechanism should be used to generate the cophasing assumption used in CSI feedback.  </w:t>
      </w:r>
    </w:p>
    <w:p w14:paraId="5E5F15B2" w14:textId="6853E2D5" w:rsidR="005C23A7" w:rsidRDefault="005C23A7" w:rsidP="00243B92">
      <w:pPr>
        <w:pStyle w:val="BodyText"/>
        <w:spacing w:after="0"/>
      </w:pPr>
      <w:r w:rsidRPr="00243B92">
        <w:rPr>
          <w:b/>
        </w:rPr>
        <w:t>Observations</w:t>
      </w:r>
      <w:r>
        <w:t>:</w:t>
      </w:r>
    </w:p>
    <w:p w14:paraId="7531F8C4" w14:textId="317EE0C6" w:rsidR="0039040A" w:rsidRDefault="00243B92" w:rsidP="00243B92">
      <w:pPr>
        <w:pStyle w:val="BodyText"/>
        <w:numPr>
          <w:ilvl w:val="0"/>
          <w:numId w:val="46"/>
        </w:numPr>
        <w:spacing w:after="0"/>
      </w:pPr>
      <w:r>
        <w:t>There appear to be a wide variety of (possibly divergent) open/semi-open loop transmission proposals</w:t>
      </w:r>
    </w:p>
    <w:p w14:paraId="29415CD7" w14:textId="6FC6EB62" w:rsidR="00243B92" w:rsidRDefault="00243B92" w:rsidP="00243B92">
      <w:pPr>
        <w:pStyle w:val="BodyText"/>
        <w:numPr>
          <w:ilvl w:val="0"/>
          <w:numId w:val="46"/>
        </w:numPr>
        <w:spacing w:after="0"/>
      </w:pPr>
      <w:r>
        <w:t xml:space="preserve">Complex mechanisms to support open-loop and semi-open loop CSI reporting are not justified </w:t>
      </w:r>
    </w:p>
    <w:p w14:paraId="4CA49E27" w14:textId="77777777" w:rsidR="004F66AA" w:rsidRDefault="004F66AA" w:rsidP="00DB2124">
      <w:pPr>
        <w:pStyle w:val="Heading2"/>
      </w:pPr>
      <w:r>
        <w:t>SFBC and code rate</w:t>
      </w:r>
    </w:p>
    <w:p w14:paraId="62541C47" w14:textId="4B860015" w:rsidR="004F66AA" w:rsidRDefault="004F66AA" w:rsidP="004F66AA">
      <w:pPr>
        <w:pStyle w:val="BodyText"/>
      </w:pPr>
      <w:r>
        <w:t>SFBC is well known to have similar link level performance to precoder cycling at lower code rates.   This can be illustrated in the following result</w:t>
      </w:r>
      <w:r w:rsidR="00243B92">
        <w:t xml:space="preserve"> </w:t>
      </w:r>
      <w:r w:rsidR="00D84C95">
        <w:fldChar w:fldCharType="begin"/>
      </w:r>
      <w:r w:rsidR="00D84C95">
        <w:instrText xml:space="preserve"> REF _Ref481790807 \r \h </w:instrText>
      </w:r>
      <w:r w:rsidR="00D84C95">
        <w:fldChar w:fldCharType="separate"/>
      </w:r>
      <w:r w:rsidR="00D84C95">
        <w:t>[11]</w:t>
      </w:r>
      <w:r w:rsidR="00D84C95">
        <w:fldChar w:fldCharType="end"/>
      </w:r>
      <w:r>
        <w:t>, where PDCCH is simulated at various code rates.  At a 5/8 code rate, we see on the order of 1 dB improvement over precoder cycling</w:t>
      </w:r>
      <w:r w:rsidR="006118E1">
        <w:t xml:space="preserve"> at 10% BLER</w:t>
      </w:r>
      <w:r>
        <w:t>, while below that the gains diminish.  Therefore, it is hard to justify the use of SFBC instead of per PRB precoder cycling above a certain code rate.</w:t>
      </w:r>
    </w:p>
    <w:p w14:paraId="4FCDAF07" w14:textId="77777777" w:rsidR="004F66AA" w:rsidRDefault="004F66AA" w:rsidP="00DB2124">
      <w:pPr>
        <w:pStyle w:val="BodyText"/>
        <w:jc w:val="center"/>
      </w:pPr>
      <w:r w:rsidRPr="00506C41">
        <w:rPr>
          <w:noProof/>
        </w:rPr>
        <w:drawing>
          <wp:inline distT="0" distB="0" distL="0" distR="0" wp14:anchorId="66D58165" wp14:editId="2ECC00EB">
            <wp:extent cx="4548101" cy="30962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7009" cy="3129582"/>
                    </a:xfrm>
                    <a:prstGeom prst="rect">
                      <a:avLst/>
                    </a:prstGeom>
                    <a:noFill/>
                    <a:ln>
                      <a:noFill/>
                    </a:ln>
                  </pic:spPr>
                </pic:pic>
              </a:graphicData>
            </a:graphic>
          </wp:inline>
        </w:drawing>
      </w:r>
    </w:p>
    <w:p w14:paraId="20C07437" w14:textId="77777777" w:rsidR="004F66AA" w:rsidRDefault="004F66AA" w:rsidP="00DB2124">
      <w:pPr>
        <w:pStyle w:val="BodyText"/>
        <w:spacing w:after="0"/>
      </w:pPr>
      <w:r w:rsidRPr="00DB2124">
        <w:rPr>
          <w:b/>
        </w:rPr>
        <w:t>Observation</w:t>
      </w:r>
      <w:r>
        <w:t>:</w:t>
      </w:r>
    </w:p>
    <w:p w14:paraId="12371F33" w14:textId="77777777" w:rsidR="004F66AA" w:rsidRDefault="004F66AA" w:rsidP="00DB2124">
      <w:pPr>
        <w:pStyle w:val="BodyText"/>
        <w:numPr>
          <w:ilvl w:val="0"/>
          <w:numId w:val="45"/>
        </w:numPr>
      </w:pPr>
      <w:r>
        <w:t xml:space="preserve">SFBC is not justified over precoder cycling above a certain code rate. </w:t>
      </w:r>
    </w:p>
    <w:p w14:paraId="0E7B0B30" w14:textId="142FA823" w:rsidR="00DB2124" w:rsidRDefault="00DB2124" w:rsidP="00DB2124">
      <w:pPr>
        <w:pStyle w:val="Heading2"/>
      </w:pPr>
      <w:r>
        <w:t>Proposal</w:t>
      </w:r>
    </w:p>
    <w:p w14:paraId="67B4AA5C" w14:textId="1EC40C41" w:rsidR="004F66AA" w:rsidRDefault="004F66AA" w:rsidP="004F66AA">
      <w:pPr>
        <w:pStyle w:val="BodyText"/>
      </w:pPr>
      <w:r>
        <w:t>Given the above discussions</w:t>
      </w:r>
      <w:r w:rsidR="006B023E">
        <w:t xml:space="preserve"> and in light of developments in RAN1#88bis</w:t>
      </w:r>
      <w:r>
        <w:t>, we have the following</w:t>
      </w:r>
      <w:r w:rsidR="00243B92">
        <w:t xml:space="preserve"> proposal.  We prefer the first, since a non-transparent </w:t>
      </w:r>
      <w:r w:rsidR="004C38B6">
        <w:t xml:space="preserve">Tx </w:t>
      </w:r>
      <w:r w:rsidR="00243B92">
        <w:t xml:space="preserve">scheme </w:t>
      </w:r>
      <w:r w:rsidR="004C38B6">
        <w:t xml:space="preserve">2 </w:t>
      </w:r>
      <w:r w:rsidR="00243B92">
        <w:t xml:space="preserve">does not seem </w:t>
      </w:r>
      <w:r w:rsidR="004C38B6">
        <w:t>motivated.</w:t>
      </w:r>
    </w:p>
    <w:p w14:paraId="18F88C87" w14:textId="77777777" w:rsidR="004F66AA" w:rsidRDefault="004F66AA" w:rsidP="004F66AA">
      <w:pPr>
        <w:pStyle w:val="BodyText"/>
        <w:numPr>
          <w:ilvl w:val="0"/>
          <w:numId w:val="43"/>
        </w:numPr>
        <w:spacing w:after="0"/>
      </w:pPr>
      <w:r>
        <w:t>Support one of the following two alternatives:</w:t>
      </w:r>
    </w:p>
    <w:p w14:paraId="1233C940" w14:textId="77777777" w:rsidR="004F66AA" w:rsidRDefault="004F66AA" w:rsidP="004F66AA">
      <w:pPr>
        <w:pStyle w:val="BodyText"/>
        <w:numPr>
          <w:ilvl w:val="1"/>
          <w:numId w:val="43"/>
        </w:numPr>
        <w:spacing w:after="0"/>
      </w:pPr>
      <w:r>
        <w:t>Alt.1 Single DMRS port in Rel.15</w:t>
      </w:r>
    </w:p>
    <w:p w14:paraId="67BC442F" w14:textId="6EBE035D" w:rsidR="004F66AA" w:rsidRDefault="004F66AA" w:rsidP="004F66AA">
      <w:pPr>
        <w:pStyle w:val="BodyText"/>
        <w:numPr>
          <w:ilvl w:val="2"/>
          <w:numId w:val="43"/>
        </w:numPr>
        <w:spacing w:after="0"/>
      </w:pPr>
      <w:r>
        <w:t>PRG level cycling</w:t>
      </w:r>
      <w:r w:rsidR="00765269">
        <w:t xml:space="preserve"> or other transparent diversity</w:t>
      </w:r>
      <w:r>
        <w:t xml:space="preserve"> can be supported without spec</w:t>
      </w:r>
      <w:r w:rsidR="00D84C95">
        <w:t>.</w:t>
      </w:r>
      <w:r>
        <w:t xml:space="preserve"> impact</w:t>
      </w:r>
    </w:p>
    <w:p w14:paraId="3C90B829" w14:textId="77777777" w:rsidR="004F66AA" w:rsidRDefault="004F66AA" w:rsidP="004F66AA">
      <w:pPr>
        <w:pStyle w:val="BodyText"/>
        <w:numPr>
          <w:ilvl w:val="1"/>
          <w:numId w:val="43"/>
        </w:numPr>
        <w:spacing w:after="0"/>
      </w:pPr>
      <w:r>
        <w:t>Alt.2 PRG level cycling + SFBC</w:t>
      </w:r>
    </w:p>
    <w:p w14:paraId="16F5C4C1" w14:textId="05043270" w:rsidR="004F66AA" w:rsidRDefault="004F66AA" w:rsidP="004F66AA">
      <w:pPr>
        <w:pStyle w:val="BodyText"/>
        <w:numPr>
          <w:ilvl w:val="2"/>
          <w:numId w:val="43"/>
        </w:numPr>
        <w:spacing w:after="0"/>
      </w:pPr>
      <w:r>
        <w:t xml:space="preserve">SFBC used e.g. above a certain code rate, or for </w:t>
      </w:r>
      <w:r w:rsidR="00D84C95">
        <w:t xml:space="preserve">a </w:t>
      </w:r>
      <w:r>
        <w:t>small number of PRBs, exact conditions FFS.</w:t>
      </w:r>
    </w:p>
    <w:p w14:paraId="6D89DB01" w14:textId="77777777" w:rsidR="004F66AA" w:rsidRDefault="004F66AA" w:rsidP="004F66AA">
      <w:pPr>
        <w:pStyle w:val="BodyText"/>
        <w:numPr>
          <w:ilvl w:val="2"/>
          <w:numId w:val="43"/>
        </w:numPr>
        <w:spacing w:after="0"/>
      </w:pPr>
      <w:r>
        <w:t>When SFBC is not used, single DMRS port PRG level cycling can be used;</w:t>
      </w:r>
    </w:p>
    <w:p w14:paraId="5CA3ACB9" w14:textId="77777777" w:rsidR="004F66AA" w:rsidRDefault="004F66AA" w:rsidP="004F66AA">
      <w:pPr>
        <w:pStyle w:val="BodyText"/>
        <w:numPr>
          <w:ilvl w:val="3"/>
          <w:numId w:val="43"/>
        </w:numPr>
        <w:spacing w:after="0"/>
      </w:pPr>
      <w:r>
        <w:t>FFS how cycling is taken into account for OL/semi-OL CSI feedback where W2 is not reported</w:t>
      </w:r>
    </w:p>
    <w:p w14:paraId="56FD89D8" w14:textId="77777777" w:rsidR="004C38B6" w:rsidRDefault="004C38B6" w:rsidP="004548E0">
      <w:pPr>
        <w:pStyle w:val="BodyText"/>
        <w:numPr>
          <w:ilvl w:val="0"/>
          <w:numId w:val="43"/>
        </w:numPr>
        <w:spacing w:after="0"/>
        <w:rPr>
          <w:szCs w:val="20"/>
        </w:rPr>
      </w:pPr>
      <w:r>
        <w:rPr>
          <w:szCs w:val="20"/>
        </w:rPr>
        <w:t>Provide robust spatially multiplexed PDSCH using single codeword transmission</w:t>
      </w:r>
    </w:p>
    <w:p w14:paraId="3832AEDD" w14:textId="338C33B0" w:rsidR="00A5248E" w:rsidRDefault="00A5248E" w:rsidP="00A5248E">
      <w:pPr>
        <w:pStyle w:val="Heading1"/>
        <w:spacing w:before="480"/>
        <w:rPr>
          <w:lang w:eastAsia="ja-JP"/>
        </w:rPr>
      </w:pPr>
      <w:r w:rsidRPr="009D2B97">
        <w:rPr>
          <w:lang w:eastAsia="ja-JP"/>
        </w:rPr>
        <w:lastRenderedPageBreak/>
        <w:t>Conclusion</w:t>
      </w:r>
      <w:r>
        <w:rPr>
          <w:lang w:eastAsia="ja-JP"/>
        </w:rPr>
        <w:t>s</w:t>
      </w:r>
    </w:p>
    <w:p w14:paraId="0B6B2AE8" w14:textId="77777777" w:rsidR="00A5248E" w:rsidRDefault="00A5248E" w:rsidP="00C95811">
      <w:pPr>
        <w:pStyle w:val="BodyText"/>
        <w:keepNext/>
      </w:pPr>
      <w:r>
        <w:rPr>
          <w:lang w:eastAsia="ja-JP"/>
        </w:rPr>
        <w:t xml:space="preserve">This contribution has considered </w:t>
      </w:r>
      <w:r>
        <w:t xml:space="preserve">potential designs of </w:t>
      </w:r>
      <w:r w:rsidR="009F542F">
        <w:t xml:space="preserve">open loop </w:t>
      </w:r>
      <w:r>
        <w:t>transmission schemes, leading to the following observations and proposals:</w:t>
      </w:r>
    </w:p>
    <w:p w14:paraId="2959B8DC" w14:textId="77777777" w:rsidR="00A5248E" w:rsidRDefault="00A5248E" w:rsidP="00A5248E">
      <w:pPr>
        <w:pStyle w:val="BodyText"/>
        <w:spacing w:after="0"/>
      </w:pPr>
      <w:r w:rsidRPr="00601239">
        <w:rPr>
          <w:b/>
        </w:rPr>
        <w:t>Observation</w:t>
      </w:r>
      <w:r>
        <w:rPr>
          <w:b/>
        </w:rPr>
        <w:t>s</w:t>
      </w:r>
      <w:r>
        <w:t>:</w:t>
      </w:r>
    </w:p>
    <w:p w14:paraId="72159AB3"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14:paraId="41DCA982"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14:paraId="495FAA08"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 xml:space="preserve">Both </w:t>
      </w:r>
      <w:r>
        <w:rPr>
          <w:rFonts w:ascii="Times New Roman" w:hAnsi="Times New Roman" w:cs="Times New Roman"/>
          <w:sz w:val="20"/>
        </w:rPr>
        <w:t>precoder cycling and SFBC</w:t>
      </w:r>
    </w:p>
    <w:p w14:paraId="760ACB85" w14:textId="77777777" w:rsidR="00A5248E" w:rsidRPr="00710043" w:rsidRDefault="00A5248E" w:rsidP="00A5248E">
      <w:pPr>
        <w:pStyle w:val="ListParagraph"/>
        <w:numPr>
          <w:ilvl w:val="1"/>
          <w:numId w:val="24"/>
        </w:numPr>
        <w:rPr>
          <w:rFonts w:ascii="Times New Roman" w:hAnsi="Times New Roman" w:cs="Times New Roman"/>
          <w:sz w:val="20"/>
        </w:rPr>
      </w:pPr>
      <w:r w:rsidRPr="00710043">
        <w:rPr>
          <w:rFonts w:ascii="Times New Roman" w:hAnsi="Times New Roman" w:cs="Times New Roman"/>
          <w:sz w:val="20"/>
        </w:rPr>
        <w:t xml:space="preserve">Have reduced DMRS SNR as compared to rank 1 </w:t>
      </w:r>
      <w:r w:rsidR="00E7559D">
        <w:rPr>
          <w:rFonts w:ascii="Times New Roman" w:hAnsi="Times New Roman" w:cs="Times New Roman"/>
          <w:sz w:val="20"/>
        </w:rPr>
        <w:t>closed loop MIMO</w:t>
      </w:r>
    </w:p>
    <w:p w14:paraId="5D3736BA" w14:textId="77777777" w:rsidR="00F263CF" w:rsidRDefault="00F263CF" w:rsidP="00F263CF">
      <w:pPr>
        <w:pStyle w:val="ListParagraph"/>
        <w:numPr>
          <w:ilvl w:val="1"/>
          <w:numId w:val="24"/>
        </w:numPr>
        <w:rPr>
          <w:rFonts w:ascii="Times New Roman" w:hAnsi="Times New Roman" w:cs="Times New Roman"/>
          <w:sz w:val="20"/>
        </w:rPr>
      </w:pPr>
      <w:r>
        <w:rPr>
          <w:rFonts w:ascii="Times New Roman" w:hAnsi="Times New Roman" w:cs="Times New Roman"/>
          <w:sz w:val="20"/>
        </w:rPr>
        <w:t>Generally p</w:t>
      </w:r>
      <w:r w:rsidRPr="00710043">
        <w:rPr>
          <w:rFonts w:ascii="Times New Roman" w:hAnsi="Times New Roman" w:cs="Times New Roman"/>
          <w:sz w:val="20"/>
        </w:rPr>
        <w:t>roduce rank 2 interference to neighbor cells</w:t>
      </w:r>
    </w:p>
    <w:p w14:paraId="50E0DAD0" w14:textId="34C3CF1A" w:rsidR="00F263CF" w:rsidRPr="00F263CF" w:rsidRDefault="00F263CF" w:rsidP="00F263CF">
      <w:pPr>
        <w:pStyle w:val="ListParagraph"/>
        <w:numPr>
          <w:ilvl w:val="2"/>
          <w:numId w:val="24"/>
        </w:numPr>
        <w:rPr>
          <w:rFonts w:ascii="Times New Roman" w:hAnsi="Times New Roman" w:cs="Times New Roman"/>
          <w:sz w:val="20"/>
        </w:rPr>
      </w:pPr>
      <w:r>
        <w:rPr>
          <w:rFonts w:ascii="Times New Roman" w:hAnsi="Times New Roman" w:cs="Times New Roman"/>
          <w:sz w:val="20"/>
        </w:rPr>
        <w:t>Rank 1 is possible in theory, but e.g. rate matching precludes this in LTE</w:t>
      </w:r>
    </w:p>
    <w:p w14:paraId="74A11A9D" w14:textId="77777777" w:rsidR="0070432A" w:rsidRPr="00710043" w:rsidRDefault="0070432A" w:rsidP="0070432A">
      <w:pPr>
        <w:pStyle w:val="ListParagraph"/>
        <w:numPr>
          <w:ilvl w:val="0"/>
          <w:numId w:val="24"/>
        </w:numPr>
        <w:rPr>
          <w:rFonts w:ascii="Times New Roman" w:hAnsi="Times New Roman" w:cs="Times New Roman"/>
          <w:sz w:val="20"/>
        </w:rPr>
      </w:pPr>
      <w:r>
        <w:rPr>
          <w:rFonts w:ascii="Times New Roman" w:hAnsi="Times New Roman" w:cs="Times New Roman"/>
          <w:sz w:val="20"/>
        </w:rPr>
        <w:t>Transparent precoder cycling can be an alternative to specified TxD, at least to per-RE precoder cycling.</w:t>
      </w:r>
    </w:p>
    <w:p w14:paraId="7DA3A936" w14:textId="77777777" w:rsidR="00B652AC" w:rsidRDefault="00B652AC" w:rsidP="00B652AC">
      <w:pPr>
        <w:pStyle w:val="BodyText"/>
        <w:numPr>
          <w:ilvl w:val="0"/>
          <w:numId w:val="24"/>
        </w:numPr>
        <w:spacing w:after="0"/>
      </w:pPr>
      <w:r>
        <w:t>The use of single codeword transmission for ranks 1-4 provides sufficient diversity for spatially multiplexed transmissions</w:t>
      </w:r>
    </w:p>
    <w:p w14:paraId="0A9F65BF" w14:textId="77777777" w:rsidR="00B652AC" w:rsidRDefault="00B652AC" w:rsidP="00B652AC">
      <w:pPr>
        <w:pStyle w:val="BodyText"/>
        <w:numPr>
          <w:ilvl w:val="0"/>
          <w:numId w:val="24"/>
        </w:numPr>
        <w:spacing w:after="0"/>
      </w:pPr>
      <w:r>
        <w:t>Techniques such as large delay CDD or layer permutation are not needed when 2 codewords are used for ranks 5-8</w:t>
      </w:r>
    </w:p>
    <w:p w14:paraId="200EFDDF" w14:textId="77777777" w:rsidR="00B652AC" w:rsidRDefault="00B652AC" w:rsidP="00B652AC">
      <w:pPr>
        <w:pStyle w:val="BodyText"/>
        <w:numPr>
          <w:ilvl w:val="0"/>
          <w:numId w:val="24"/>
        </w:numPr>
        <w:spacing w:after="0"/>
      </w:pPr>
      <w:r>
        <w:t xml:space="preserve">For OL MIMO with 2D cross-pol arrays, at most rank 2 (using two port DMRS) is sufficient </w:t>
      </w:r>
    </w:p>
    <w:p w14:paraId="742872CB" w14:textId="77777777" w:rsidR="00A5248E" w:rsidRDefault="00A5248E" w:rsidP="00A5248E">
      <w:pPr>
        <w:pStyle w:val="BodyText"/>
        <w:numPr>
          <w:ilvl w:val="0"/>
          <w:numId w:val="24"/>
        </w:numPr>
        <w:spacing w:after="0"/>
      </w:pPr>
      <w:r>
        <w:t xml:space="preserve">TxD </w:t>
      </w:r>
      <w:r w:rsidR="009F542F">
        <w:t xml:space="preserve">(both rank 1 precoder cycling and SFBC) </w:t>
      </w:r>
      <w:r>
        <w:t>can significantly degrades the performance of IRC</w:t>
      </w:r>
    </w:p>
    <w:p w14:paraId="4EC8CD68" w14:textId="77777777" w:rsidR="00A5248E" w:rsidRDefault="00A5248E" w:rsidP="00A5248E">
      <w:pPr>
        <w:pStyle w:val="BodyText"/>
        <w:numPr>
          <w:ilvl w:val="1"/>
          <w:numId w:val="24"/>
        </w:numPr>
        <w:spacing w:after="0"/>
      </w:pPr>
      <w:r>
        <w:t>Performance of TxD can be worse than when TxD is not used due to the inability to suppress interference.</w:t>
      </w:r>
    </w:p>
    <w:p w14:paraId="087CEBC5" w14:textId="77777777" w:rsidR="00F3548C" w:rsidRDefault="00F3548C" w:rsidP="00F3548C">
      <w:pPr>
        <w:pStyle w:val="BodyText"/>
        <w:keepNext/>
        <w:numPr>
          <w:ilvl w:val="0"/>
          <w:numId w:val="24"/>
        </w:numPr>
        <w:spacing w:after="0"/>
      </w:pPr>
      <w:r>
        <w:t>TxD is not beneficial under all conditions</w:t>
      </w:r>
    </w:p>
    <w:p w14:paraId="3B6DA801" w14:textId="77777777" w:rsidR="00F3548C" w:rsidRDefault="00F3548C" w:rsidP="00F3548C">
      <w:pPr>
        <w:pStyle w:val="BodyText"/>
        <w:numPr>
          <w:ilvl w:val="1"/>
          <w:numId w:val="24"/>
        </w:numPr>
        <w:spacing w:after="0"/>
      </w:pPr>
      <w:r>
        <w:t>It tends to perform than worse precoding / co-phasing for unicast transmission when good CSI is available</w:t>
      </w:r>
    </w:p>
    <w:p w14:paraId="21FDE556" w14:textId="6819095E" w:rsidR="00B652AC" w:rsidRDefault="00F3548C" w:rsidP="00C5003D">
      <w:pPr>
        <w:pStyle w:val="BodyText"/>
        <w:numPr>
          <w:ilvl w:val="0"/>
          <w:numId w:val="24"/>
        </w:numPr>
        <w:spacing w:after="0"/>
      </w:pPr>
      <w:r>
        <w:t xml:space="preserve">Low latency, high reliability applications </w:t>
      </w:r>
      <w:r w:rsidR="00B652AC">
        <w:t xml:space="preserve">and rural macro scenarios </w:t>
      </w:r>
      <w:r>
        <w:t xml:space="preserve">seem </w:t>
      </w:r>
      <w:r w:rsidR="00B652AC">
        <w:t xml:space="preserve">some of the most promising use cases for </w:t>
      </w:r>
      <w:r>
        <w:t>TxD</w:t>
      </w:r>
      <w:r w:rsidR="00782664">
        <w:t>, but so far implementation based TxD schemes seem sufficient.</w:t>
      </w:r>
    </w:p>
    <w:p w14:paraId="62947624" w14:textId="0A93E98B" w:rsidR="004C38B6" w:rsidRDefault="004C38B6" w:rsidP="004C38B6">
      <w:pPr>
        <w:pStyle w:val="BodyText"/>
        <w:numPr>
          <w:ilvl w:val="0"/>
          <w:numId w:val="24"/>
        </w:numPr>
        <w:spacing w:after="0"/>
      </w:pPr>
      <w:r>
        <w:t xml:space="preserve">PDCCH and PBCH support at most 1 </w:t>
      </w:r>
      <w:r w:rsidR="00B44509">
        <w:t xml:space="preserve">antenna </w:t>
      </w:r>
      <w:r>
        <w:t>port in Rel-15 NR</w:t>
      </w:r>
    </w:p>
    <w:p w14:paraId="74852289" w14:textId="77777777" w:rsidR="004C38B6" w:rsidRDefault="004C38B6" w:rsidP="004C38B6">
      <w:pPr>
        <w:pStyle w:val="BodyText"/>
        <w:numPr>
          <w:ilvl w:val="1"/>
          <w:numId w:val="24"/>
        </w:numPr>
        <w:spacing w:after="0"/>
      </w:pPr>
      <w:r>
        <w:t>DL control channels typically benefit more from TxD than shared channels</w:t>
      </w:r>
    </w:p>
    <w:p w14:paraId="23893A76" w14:textId="08439022" w:rsidR="004C38B6" w:rsidRDefault="004C38B6" w:rsidP="004C38B6">
      <w:pPr>
        <w:pStyle w:val="BodyText"/>
        <w:numPr>
          <w:ilvl w:val="0"/>
          <w:numId w:val="24"/>
        </w:numPr>
      </w:pPr>
      <w:r>
        <w:t>Therefore, non-transparent Tx Scheme 2 does not appear motivated for PDSCH in Rel-15</w:t>
      </w:r>
    </w:p>
    <w:p w14:paraId="19964A0B" w14:textId="20396D5F" w:rsidR="0034124E" w:rsidRDefault="0034124E" w:rsidP="00747E53">
      <w:pPr>
        <w:keepNext/>
        <w:rPr>
          <w:b/>
        </w:rPr>
      </w:pPr>
    </w:p>
    <w:p w14:paraId="759A6326" w14:textId="08F6AA79" w:rsidR="00020DAF" w:rsidRDefault="00020DAF" w:rsidP="00020DAF">
      <w:pPr>
        <w:pStyle w:val="BodyText"/>
      </w:pPr>
      <w:r>
        <w:t>Given the above discussions</w:t>
      </w:r>
      <w:r w:rsidR="00B65810">
        <w:t xml:space="preserve"> and in light of developments in RAN1#88bis</w:t>
      </w:r>
      <w:r>
        <w:t xml:space="preserve">, </w:t>
      </w:r>
      <w:r w:rsidR="00B44509">
        <w:t>in particular the support for at most 1 antenna</w:t>
      </w:r>
      <w:r w:rsidR="000C323F">
        <w:t xml:space="preserve"> port</w:t>
      </w:r>
      <w:r w:rsidR="00B44509">
        <w:t xml:space="preserve"> on PBCH and PDCCH, </w:t>
      </w:r>
      <w:r>
        <w:t>we have the following proposals.  We prefer the first alternative</w:t>
      </w:r>
      <w:r w:rsidR="004C38B6">
        <w:t>, since non-transparent Tx Scheme 2 does not appear motivated for PDSCH in Rel-15</w:t>
      </w:r>
      <w:r>
        <w:t>.</w:t>
      </w:r>
    </w:p>
    <w:p w14:paraId="7B4409B7" w14:textId="7C359EA6" w:rsidR="00020DAF" w:rsidRDefault="00020DAF" w:rsidP="00020DAF">
      <w:pPr>
        <w:pStyle w:val="BodyText"/>
        <w:spacing w:after="0"/>
      </w:pPr>
      <w:r w:rsidRPr="009B0417">
        <w:rPr>
          <w:b/>
        </w:rPr>
        <w:t>Proposal</w:t>
      </w:r>
      <w:r>
        <w:rPr>
          <w:b/>
        </w:rPr>
        <w:t>s</w:t>
      </w:r>
      <w:r w:rsidRPr="009B0417">
        <w:rPr>
          <w:b/>
        </w:rPr>
        <w:t>:</w:t>
      </w:r>
    </w:p>
    <w:p w14:paraId="3EDAAD47" w14:textId="77777777" w:rsidR="00020DAF" w:rsidRDefault="00020DAF" w:rsidP="00020DAF">
      <w:pPr>
        <w:pStyle w:val="BodyText"/>
        <w:numPr>
          <w:ilvl w:val="0"/>
          <w:numId w:val="24"/>
        </w:numPr>
        <w:spacing w:after="0"/>
      </w:pPr>
      <w:r>
        <w:t>Support one of the following two alternatives:</w:t>
      </w:r>
    </w:p>
    <w:p w14:paraId="66365C06" w14:textId="77777777" w:rsidR="00020DAF" w:rsidRDefault="00020DAF" w:rsidP="00020DAF">
      <w:pPr>
        <w:pStyle w:val="BodyText"/>
        <w:numPr>
          <w:ilvl w:val="1"/>
          <w:numId w:val="24"/>
        </w:numPr>
        <w:spacing w:after="0"/>
      </w:pPr>
      <w:r>
        <w:t>Alt.1 Single DMRS port in Rel.15</w:t>
      </w:r>
    </w:p>
    <w:p w14:paraId="4E754D36" w14:textId="0949539C" w:rsidR="00020DAF" w:rsidRDefault="00020DAF" w:rsidP="00020DAF">
      <w:pPr>
        <w:pStyle w:val="BodyText"/>
        <w:numPr>
          <w:ilvl w:val="2"/>
          <w:numId w:val="24"/>
        </w:numPr>
        <w:spacing w:after="0"/>
      </w:pPr>
      <w:r>
        <w:t xml:space="preserve">PRG level cycling </w:t>
      </w:r>
      <w:r w:rsidR="00765269">
        <w:t xml:space="preserve">or other transparent diversity </w:t>
      </w:r>
      <w:r>
        <w:t>can be supported without specification impact</w:t>
      </w:r>
    </w:p>
    <w:p w14:paraId="051FF433" w14:textId="77777777" w:rsidR="00020DAF" w:rsidRDefault="00020DAF" w:rsidP="00020DAF">
      <w:pPr>
        <w:pStyle w:val="BodyText"/>
        <w:numPr>
          <w:ilvl w:val="1"/>
          <w:numId w:val="24"/>
        </w:numPr>
        <w:spacing w:after="0"/>
      </w:pPr>
      <w:r>
        <w:t>Alt.2 PRG level cycling + SFBC</w:t>
      </w:r>
    </w:p>
    <w:p w14:paraId="35E80B5D" w14:textId="77777777" w:rsidR="00020DAF" w:rsidRDefault="00020DAF" w:rsidP="00020DAF">
      <w:pPr>
        <w:pStyle w:val="BodyText"/>
        <w:numPr>
          <w:ilvl w:val="2"/>
          <w:numId w:val="24"/>
        </w:numPr>
        <w:spacing w:after="0"/>
      </w:pPr>
      <w:r>
        <w:t>SFBC used e.g. above a certain code rate, or for small number of PRBs, exact conditions FFS.</w:t>
      </w:r>
    </w:p>
    <w:p w14:paraId="2208C987" w14:textId="77777777" w:rsidR="00020DAF" w:rsidRDefault="00020DAF" w:rsidP="00020DAF">
      <w:pPr>
        <w:pStyle w:val="BodyText"/>
        <w:numPr>
          <w:ilvl w:val="2"/>
          <w:numId w:val="24"/>
        </w:numPr>
        <w:spacing w:after="0"/>
      </w:pPr>
      <w:r>
        <w:t>When SFBC is not used, single DMRS port PRG level cycling can be used;</w:t>
      </w:r>
    </w:p>
    <w:p w14:paraId="4627F23F" w14:textId="77777777" w:rsidR="00020DAF" w:rsidRDefault="00020DAF" w:rsidP="00020DAF">
      <w:pPr>
        <w:pStyle w:val="BodyText"/>
        <w:numPr>
          <w:ilvl w:val="3"/>
          <w:numId w:val="24"/>
        </w:numPr>
        <w:spacing w:after="0"/>
      </w:pPr>
      <w:r>
        <w:t>FFS how cycling is taken into account for OL/semi-OL CSI feedback where W2 is not reported</w:t>
      </w:r>
    </w:p>
    <w:p w14:paraId="35A352A0" w14:textId="21C9A1BA" w:rsidR="000E4CF8" w:rsidRDefault="000E4CF8" w:rsidP="004548E0">
      <w:pPr>
        <w:pStyle w:val="BodyText"/>
        <w:numPr>
          <w:ilvl w:val="0"/>
          <w:numId w:val="24"/>
        </w:numPr>
        <w:spacing w:after="0"/>
        <w:rPr>
          <w:szCs w:val="20"/>
        </w:rPr>
      </w:pPr>
      <w:r>
        <w:rPr>
          <w:szCs w:val="20"/>
        </w:rPr>
        <w:t>Provide robust spatially multiplexed PDSCH using single codeword transmission</w:t>
      </w:r>
    </w:p>
    <w:p w14:paraId="6DD3A21D" w14:textId="5D72DAF9" w:rsidR="003A5B3F" w:rsidRPr="00CE0424" w:rsidRDefault="003A5B3F" w:rsidP="003A5B3F">
      <w:pPr>
        <w:pStyle w:val="Heading1"/>
        <w:spacing w:before="480"/>
      </w:pPr>
      <w:r w:rsidRPr="00CE0424">
        <w:lastRenderedPageBreak/>
        <w:t>References</w:t>
      </w:r>
    </w:p>
    <w:p w14:paraId="34845064" w14:textId="4AE7033B" w:rsidR="00F455D2" w:rsidRPr="00C95811" w:rsidRDefault="00DF3D0C" w:rsidP="004548E0">
      <w:pPr>
        <w:pStyle w:val="references"/>
        <w:keepNext/>
        <w:rPr>
          <w:sz w:val="20"/>
          <w:szCs w:val="20"/>
        </w:rPr>
      </w:pPr>
      <w:bookmarkStart w:id="4" w:name="_Ref471722234"/>
      <w:bookmarkStart w:id="5" w:name="_Ref458787886"/>
      <w:bookmarkStart w:id="6" w:name="_Ref462761561"/>
      <w:bookmarkStart w:id="7" w:name="_Ref471126648"/>
      <w:r w:rsidRPr="004548E0">
        <w:t>R1-1612046</w:t>
      </w:r>
      <w:r w:rsidR="00F455D2" w:rsidRPr="004E3E65">
        <w:rPr>
          <w:sz w:val="20"/>
          <w:szCs w:val="20"/>
        </w:rPr>
        <w:t>, “</w:t>
      </w:r>
      <w:r w:rsidR="00F455D2" w:rsidRPr="00F455D2">
        <w:rPr>
          <w:sz w:val="20"/>
          <w:szCs w:val="20"/>
        </w:rPr>
        <w:t>DL Open-Loop MIMO Transmission Schemes</w:t>
      </w:r>
      <w:r w:rsidR="00F455D2" w:rsidRPr="004E3E65">
        <w:rPr>
          <w:sz w:val="20"/>
          <w:szCs w:val="20"/>
        </w:rPr>
        <w:t xml:space="preserve">”, </w:t>
      </w:r>
      <w:r w:rsidR="00F455D2" w:rsidRPr="00C95811">
        <w:rPr>
          <w:sz w:val="20"/>
          <w:szCs w:val="20"/>
        </w:rPr>
        <w:t>Qualcomm</w:t>
      </w:r>
      <w:r w:rsidR="00F455D2" w:rsidRPr="004E3E65">
        <w:rPr>
          <w:sz w:val="20"/>
          <w:szCs w:val="20"/>
        </w:rPr>
        <w:t>, 3GPP TSG RAN WG1 Meeting #87, Reno, Nevada, November 14-18, 2016</w:t>
      </w:r>
      <w:bookmarkEnd w:id="4"/>
    </w:p>
    <w:p w14:paraId="737485E8" w14:textId="1B73BAA3" w:rsidR="00F455D2" w:rsidRPr="004E3E65" w:rsidRDefault="00DF3D0C" w:rsidP="004548E0">
      <w:pPr>
        <w:pStyle w:val="references"/>
        <w:keepNext/>
        <w:rPr>
          <w:sz w:val="20"/>
          <w:szCs w:val="20"/>
        </w:rPr>
      </w:pPr>
      <w:bookmarkStart w:id="8" w:name="_Ref471722238"/>
      <w:r w:rsidRPr="004548E0">
        <w:t>R1-1611972</w:t>
      </w:r>
      <w:r w:rsidR="00F455D2" w:rsidRPr="00C95811">
        <w:rPr>
          <w:sz w:val="20"/>
          <w:szCs w:val="20"/>
        </w:rPr>
        <w:t>, “</w:t>
      </w:r>
      <w:r w:rsidR="00A46835" w:rsidRPr="00A46835">
        <w:rPr>
          <w:sz w:val="20"/>
          <w:szCs w:val="20"/>
        </w:rPr>
        <w:t>Discussion on NR transmit diversity scheme</w:t>
      </w:r>
      <w:r w:rsidR="00F455D2" w:rsidRPr="00C95811">
        <w:rPr>
          <w:sz w:val="20"/>
          <w:szCs w:val="20"/>
        </w:rPr>
        <w:t xml:space="preserve">”, </w:t>
      </w:r>
      <w:r w:rsidR="00A46835" w:rsidRPr="00C95811">
        <w:rPr>
          <w:sz w:val="20"/>
          <w:szCs w:val="20"/>
        </w:rPr>
        <w:t>Intel</w:t>
      </w:r>
      <w:r w:rsidR="00F455D2" w:rsidRPr="00C95811">
        <w:rPr>
          <w:sz w:val="20"/>
          <w:szCs w:val="20"/>
        </w:rPr>
        <w:t>, 3GPP TSG RAN WG1 Meeting #87, Reno, Nevada, November 14-18, 2016</w:t>
      </w:r>
      <w:bookmarkEnd w:id="8"/>
    </w:p>
    <w:p w14:paraId="6AFF16C9" w14:textId="41CBCEA4" w:rsidR="003E4287" w:rsidRDefault="00DF3D0C" w:rsidP="004548E0">
      <w:pPr>
        <w:pStyle w:val="references"/>
        <w:keepNext/>
        <w:rPr>
          <w:sz w:val="20"/>
          <w:szCs w:val="20"/>
        </w:rPr>
      </w:pPr>
      <w:bookmarkStart w:id="9" w:name="_Ref471722274"/>
      <w:r w:rsidRPr="004548E0">
        <w:t>R1-1612349</w:t>
      </w:r>
      <w:r w:rsidR="003E4287" w:rsidRPr="006C5DB8">
        <w:rPr>
          <w:sz w:val="20"/>
          <w:szCs w:val="20"/>
        </w:rPr>
        <w:t xml:space="preserve">, “On CSI measurements and reporting”, Ericsson, 3GPP TSG RAN WG1 Meeting #87, </w:t>
      </w:r>
      <w:bookmarkEnd w:id="5"/>
      <w:bookmarkEnd w:id="6"/>
      <w:r w:rsidR="003E4287" w:rsidRPr="006C5DB8">
        <w:rPr>
          <w:sz w:val="20"/>
          <w:szCs w:val="20"/>
        </w:rPr>
        <w:t>Reno, Nevada, November 14-18, 2016</w:t>
      </w:r>
      <w:bookmarkEnd w:id="7"/>
      <w:bookmarkEnd w:id="9"/>
    </w:p>
    <w:p w14:paraId="571A1EB8" w14:textId="51184524" w:rsidR="003E4287" w:rsidRPr="003E4287" w:rsidRDefault="00DF3D0C" w:rsidP="004548E0">
      <w:pPr>
        <w:pStyle w:val="references"/>
        <w:keepNext/>
        <w:rPr>
          <w:sz w:val="20"/>
          <w:szCs w:val="20"/>
        </w:rPr>
      </w:pPr>
      <w:bookmarkStart w:id="10" w:name="_Ref471135429"/>
      <w:r w:rsidRPr="004548E0">
        <w:t>R1-1612923</w:t>
      </w:r>
      <w:r w:rsidR="003E4287" w:rsidRPr="003E4287">
        <w:rPr>
          <w:sz w:val="20"/>
          <w:szCs w:val="20"/>
        </w:rPr>
        <w:t>, “On URLLC design principles”, Ericsson, 3GPP TSG RAN WG1 Meeting #87, Reno, Nevada, November 14-18, 2016</w:t>
      </w:r>
      <w:bookmarkEnd w:id="10"/>
    </w:p>
    <w:p w14:paraId="08F2B951" w14:textId="55A1DC04" w:rsidR="003A5B3F" w:rsidRDefault="00DF3D0C" w:rsidP="004E3E65">
      <w:pPr>
        <w:pStyle w:val="references"/>
        <w:rPr>
          <w:sz w:val="20"/>
          <w:szCs w:val="20"/>
        </w:rPr>
      </w:pPr>
      <w:bookmarkStart w:id="11" w:name="_Ref471135543"/>
      <w:r w:rsidRPr="004548E0">
        <w:t>R1-1612321</w:t>
      </w:r>
      <w:r w:rsidR="00340CDF" w:rsidRPr="00340CDF">
        <w:rPr>
          <w:sz w:val="20"/>
          <w:szCs w:val="20"/>
        </w:rPr>
        <w:t>, “Robust Transmission Schemes for PDSCH”, Ericsson, 3GPP TSG RAN WG1 Meeting #87, Reno, Nevada, November 14-18, 2016</w:t>
      </w:r>
      <w:bookmarkEnd w:id="11"/>
    </w:p>
    <w:p w14:paraId="0C5CA626" w14:textId="32A6019D" w:rsidR="00FF436C" w:rsidRDefault="00DF3D0C" w:rsidP="00476DB7">
      <w:pPr>
        <w:pStyle w:val="references"/>
        <w:rPr>
          <w:sz w:val="20"/>
          <w:szCs w:val="20"/>
        </w:rPr>
      </w:pPr>
      <w:bookmarkStart w:id="12" w:name="_Ref477449010"/>
      <w:r w:rsidRPr="004548E0">
        <w:t>R1-1702191</w:t>
      </w:r>
      <w:r w:rsidR="00FF436C" w:rsidRPr="00476DB7">
        <w:rPr>
          <w:sz w:val="20"/>
          <w:szCs w:val="20"/>
        </w:rPr>
        <w:t>, “On transmission scheme 2 for DL”, Intel, 3GP</w:t>
      </w:r>
      <w:r w:rsidR="00476DB7" w:rsidRPr="00476DB7">
        <w:rPr>
          <w:sz w:val="20"/>
          <w:szCs w:val="20"/>
        </w:rPr>
        <w:t>P TSG RAN WG1 Meeting #88</w:t>
      </w:r>
      <w:r w:rsidR="00FF436C" w:rsidRPr="00476DB7">
        <w:rPr>
          <w:sz w:val="20"/>
          <w:szCs w:val="20"/>
        </w:rPr>
        <w:t>,</w:t>
      </w:r>
      <w:r w:rsidR="00476DB7" w:rsidRPr="00476DB7">
        <w:rPr>
          <w:sz w:val="20"/>
          <w:szCs w:val="20"/>
        </w:rPr>
        <w:t xml:space="preserve"> Athens, Greece, </w:t>
      </w:r>
      <w:r w:rsidR="00476DB7">
        <w:rPr>
          <w:sz w:val="20"/>
          <w:szCs w:val="20"/>
        </w:rPr>
        <w:t xml:space="preserve">February </w:t>
      </w:r>
      <w:r w:rsidR="00476DB7" w:rsidRPr="00476DB7">
        <w:rPr>
          <w:sz w:val="20"/>
          <w:szCs w:val="20"/>
        </w:rPr>
        <w:t>13</w:t>
      </w:r>
      <w:r w:rsidR="00476DB7">
        <w:rPr>
          <w:sz w:val="20"/>
          <w:szCs w:val="20"/>
        </w:rPr>
        <w:t>-17,</w:t>
      </w:r>
      <w:r w:rsidR="00476DB7" w:rsidRPr="00476DB7">
        <w:rPr>
          <w:sz w:val="20"/>
          <w:szCs w:val="20"/>
        </w:rPr>
        <w:t xml:space="preserve"> 2017</w:t>
      </w:r>
      <w:bookmarkEnd w:id="12"/>
    </w:p>
    <w:p w14:paraId="1A99196A" w14:textId="0BBD6D25" w:rsidR="00660E22" w:rsidRDefault="00DF3D0C" w:rsidP="00660E22">
      <w:pPr>
        <w:pStyle w:val="references"/>
        <w:rPr>
          <w:sz w:val="20"/>
          <w:szCs w:val="20"/>
        </w:rPr>
      </w:pPr>
      <w:bookmarkStart w:id="13" w:name="_Ref481739701"/>
      <w:r w:rsidRPr="004548E0">
        <w:t>R1-1705884</w:t>
      </w:r>
      <w:r w:rsidR="00660E22" w:rsidRPr="00660E22">
        <w:rPr>
          <w:rStyle w:val="Hyperlink"/>
          <w:iCs/>
          <w:sz w:val="20"/>
          <w:szCs w:val="20"/>
          <w:lang w:eastAsia="ja-JP"/>
        </w:rPr>
        <w:t>,</w:t>
      </w:r>
      <w:r w:rsidR="00660E22">
        <w:rPr>
          <w:sz w:val="20"/>
          <w:szCs w:val="20"/>
          <w:lang w:eastAsia="ja-JP"/>
        </w:rPr>
        <w:t xml:space="preserve"> </w:t>
      </w:r>
      <w:r w:rsidR="00660E22" w:rsidRPr="00660E22">
        <w:rPr>
          <w:sz w:val="20"/>
          <w:szCs w:val="20"/>
          <w:lang w:eastAsia="ja-JP"/>
        </w:rPr>
        <w:t xml:space="preserve">“Downlink Transmission Scheme 2: Performance Factors and Scenarios”, Ericsson, </w:t>
      </w:r>
      <w:r w:rsidR="00660E22" w:rsidRPr="00660E22">
        <w:rPr>
          <w:sz w:val="20"/>
          <w:szCs w:val="20"/>
        </w:rPr>
        <w:t>3GPP TSG RAN WG1 Meeting #88bis, Spoakane, Spokane, USA, 3rd - 7th April 2017</w:t>
      </w:r>
      <w:bookmarkEnd w:id="13"/>
    </w:p>
    <w:p w14:paraId="5378A3CD" w14:textId="69E939FD" w:rsidR="002531E0" w:rsidRPr="004548E0" w:rsidRDefault="002531E0">
      <w:pPr>
        <w:pStyle w:val="references"/>
        <w:rPr>
          <w:sz w:val="20"/>
          <w:szCs w:val="20"/>
        </w:rPr>
      </w:pPr>
      <w:bookmarkStart w:id="14" w:name="_Ref481740670"/>
      <w:r w:rsidRPr="004548E0">
        <w:rPr>
          <w:sz w:val="20"/>
          <w:szCs w:val="20"/>
        </w:rPr>
        <w:t xml:space="preserve">R1-1706372, “WF on CSI reporting and calculation for transmission scheme 2”, LG Electronics, Samsung, ZTE, ZTE Microelectronics, </w:t>
      </w:r>
      <w:r w:rsidRPr="002531E0">
        <w:rPr>
          <w:sz w:val="20"/>
          <w:szCs w:val="20"/>
        </w:rPr>
        <w:t>3GPP TSG RAN WG1 Meeting #88bis, Spokane, USA 3rd - 7th April 2017</w:t>
      </w:r>
      <w:bookmarkEnd w:id="14"/>
    </w:p>
    <w:p w14:paraId="5AF39001" w14:textId="13471F8A" w:rsidR="002531E0" w:rsidRPr="002531E0" w:rsidRDefault="002531E0" w:rsidP="002531E0">
      <w:pPr>
        <w:pStyle w:val="references"/>
        <w:rPr>
          <w:sz w:val="20"/>
          <w:szCs w:val="20"/>
        </w:rPr>
      </w:pPr>
      <w:bookmarkStart w:id="15" w:name="_Ref481740395"/>
      <w:r w:rsidRPr="004548E0">
        <w:rPr>
          <w:sz w:val="20"/>
          <w:szCs w:val="20"/>
        </w:rPr>
        <w:t>RP-170812, “Work Item on New Radio (NR) Access Technology”, NTT DOCOMO, INC, 3GPP TSG RAN Meeting #75, Dubrovnik, Croatia, March 6 - 9, 2017</w:t>
      </w:r>
      <w:bookmarkEnd w:id="15"/>
    </w:p>
    <w:p w14:paraId="6BB5B0E7" w14:textId="66DD5BEA" w:rsidR="00FB7D2B" w:rsidRPr="00FB7D2B" w:rsidRDefault="00FB7D2B" w:rsidP="00E60729">
      <w:pPr>
        <w:pStyle w:val="references"/>
        <w:rPr>
          <w:sz w:val="20"/>
          <w:szCs w:val="20"/>
        </w:rPr>
      </w:pPr>
      <w:bookmarkStart w:id="16" w:name="_Ref477889777"/>
      <w:r w:rsidRPr="00FB7D2B">
        <w:rPr>
          <w:sz w:val="20"/>
          <w:szCs w:val="20"/>
        </w:rPr>
        <w:t xml:space="preserve">3GPP TR </w:t>
      </w:r>
      <w:r w:rsidR="00DF3D0C" w:rsidRPr="004548E0">
        <w:t>38.802</w:t>
      </w:r>
      <w:r w:rsidRPr="00FB7D2B">
        <w:rPr>
          <w:sz w:val="20"/>
          <w:szCs w:val="20"/>
        </w:rPr>
        <w:t>: “Study on New Radio (NR) Access Technology;</w:t>
      </w:r>
      <w:r>
        <w:rPr>
          <w:sz w:val="20"/>
          <w:szCs w:val="20"/>
        </w:rPr>
        <w:t xml:space="preserve"> </w:t>
      </w:r>
      <w:r w:rsidRPr="00FB7D2B">
        <w:rPr>
          <w:sz w:val="20"/>
          <w:szCs w:val="20"/>
        </w:rPr>
        <w:t>Physical Layer Aspects”</w:t>
      </w:r>
      <w:bookmarkEnd w:id="16"/>
    </w:p>
    <w:p w14:paraId="60466457" w14:textId="74F43BEB" w:rsidR="0024199A" w:rsidRDefault="00D84C95" w:rsidP="004548E0">
      <w:pPr>
        <w:pStyle w:val="references"/>
        <w:rPr>
          <w:sz w:val="20"/>
          <w:szCs w:val="20"/>
        </w:rPr>
      </w:pPr>
      <w:bookmarkStart w:id="17" w:name="_Ref477889872"/>
      <w:r w:rsidRPr="004548E0">
        <w:rPr>
          <w:sz w:val="20"/>
          <w:szCs w:val="20"/>
        </w:rPr>
        <w:t>R1-1706024</w:t>
      </w:r>
      <w:r w:rsidR="00DB608E" w:rsidRPr="004548E0">
        <w:rPr>
          <w:sz w:val="20"/>
          <w:szCs w:val="20"/>
        </w:rPr>
        <w:t>, “</w:t>
      </w:r>
      <w:r w:rsidRPr="004548E0">
        <w:rPr>
          <w:sz w:val="20"/>
          <w:szCs w:val="20"/>
        </w:rPr>
        <w:t>On Performance of SFBC and Pre-Coder Cycling for NR-PDCCH</w:t>
      </w:r>
      <w:r w:rsidR="00DB608E" w:rsidRPr="004548E0">
        <w:rPr>
          <w:sz w:val="20"/>
          <w:szCs w:val="20"/>
        </w:rPr>
        <w:t>”, Ericss</w:t>
      </w:r>
      <w:r w:rsidRPr="004548E0">
        <w:rPr>
          <w:sz w:val="20"/>
          <w:szCs w:val="20"/>
        </w:rPr>
        <w:t>on, 3GPP TSG RAN WG1 Meeting #88bis</w:t>
      </w:r>
      <w:r w:rsidR="00DB608E" w:rsidRPr="004548E0">
        <w:rPr>
          <w:sz w:val="20"/>
          <w:szCs w:val="20"/>
        </w:rPr>
        <w:t xml:space="preserve">, </w:t>
      </w:r>
      <w:r w:rsidRPr="00D84C95">
        <w:rPr>
          <w:szCs w:val="20"/>
        </w:rPr>
        <w:t>Spokane, USA, April 3-7, 2017</w:t>
      </w:r>
      <w:bookmarkStart w:id="18" w:name="_Ref481790807"/>
      <w:bookmarkEnd w:id="17"/>
      <w:bookmarkEnd w:id="18"/>
    </w:p>
    <w:sectPr w:rsidR="0024199A">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CBD92" w14:textId="77777777" w:rsidR="00A604FB" w:rsidRDefault="00A604FB">
      <w:r>
        <w:separator/>
      </w:r>
    </w:p>
  </w:endnote>
  <w:endnote w:type="continuationSeparator" w:id="0">
    <w:p w14:paraId="251E7F95" w14:textId="77777777" w:rsidR="00A604FB" w:rsidRDefault="00A604FB">
      <w:r>
        <w:continuationSeparator/>
      </w:r>
    </w:p>
  </w:endnote>
  <w:endnote w:type="continuationNotice" w:id="1">
    <w:p w14:paraId="191FAE7C" w14:textId="77777777" w:rsidR="00A604FB" w:rsidRDefault="00A60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Ericsson Capital TT">
    <w:altName w:val="Ericsson Capital TT"/>
    <w:panose1 w:val="02000503000000020004"/>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07389" w14:textId="77777777" w:rsidR="00A604FB" w:rsidRDefault="00A604FB">
      <w:r>
        <w:separator/>
      </w:r>
    </w:p>
  </w:footnote>
  <w:footnote w:type="continuationSeparator" w:id="0">
    <w:p w14:paraId="09ADA176" w14:textId="77777777" w:rsidR="00A604FB" w:rsidRDefault="00A604FB">
      <w:r>
        <w:continuationSeparator/>
      </w:r>
    </w:p>
  </w:footnote>
  <w:footnote w:type="continuationNotice" w:id="1">
    <w:p w14:paraId="5F47AB7E" w14:textId="77777777" w:rsidR="00A604FB" w:rsidRDefault="00A604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6794"/>
    <w:multiLevelType w:val="hybridMultilevel"/>
    <w:tmpl w:val="F84C0B24"/>
    <w:lvl w:ilvl="0" w:tplc="2E1C4E02">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62108B4E">
      <w:numFmt w:val="bullet"/>
      <w:lvlText w:val="›"/>
      <w:lvlJc w:val="left"/>
      <w:pPr>
        <w:tabs>
          <w:tab w:val="num" w:pos="1800"/>
        </w:tabs>
        <w:ind w:left="1800" w:hanging="360"/>
      </w:pPr>
      <w:rPr>
        <w:rFonts w:ascii="Ericsson Capital TT" w:hAnsi="Ericsson Capital TT" w:hint="default"/>
      </w:rPr>
    </w:lvl>
    <w:lvl w:ilvl="3" w:tplc="BDE8F936">
      <w:start w:val="1"/>
      <w:numFmt w:val="bullet"/>
      <w:lvlText w:val="›"/>
      <w:lvlJc w:val="left"/>
      <w:pPr>
        <w:tabs>
          <w:tab w:val="num" w:pos="2520"/>
        </w:tabs>
        <w:ind w:left="2520" w:hanging="360"/>
      </w:pPr>
      <w:rPr>
        <w:rFonts w:ascii="Arial" w:hAnsi="Arial" w:hint="default"/>
      </w:rPr>
    </w:lvl>
    <w:lvl w:ilvl="4" w:tplc="2376EAC0" w:tentative="1">
      <w:start w:val="1"/>
      <w:numFmt w:val="bullet"/>
      <w:lvlText w:val="›"/>
      <w:lvlJc w:val="left"/>
      <w:pPr>
        <w:tabs>
          <w:tab w:val="num" w:pos="3240"/>
        </w:tabs>
        <w:ind w:left="3240" w:hanging="360"/>
      </w:pPr>
      <w:rPr>
        <w:rFonts w:ascii="Arial" w:hAnsi="Arial" w:hint="default"/>
      </w:rPr>
    </w:lvl>
    <w:lvl w:ilvl="5" w:tplc="64B638B8" w:tentative="1">
      <w:start w:val="1"/>
      <w:numFmt w:val="bullet"/>
      <w:lvlText w:val="›"/>
      <w:lvlJc w:val="left"/>
      <w:pPr>
        <w:tabs>
          <w:tab w:val="num" w:pos="3960"/>
        </w:tabs>
        <w:ind w:left="3960" w:hanging="360"/>
      </w:pPr>
      <w:rPr>
        <w:rFonts w:ascii="Arial" w:hAnsi="Arial" w:hint="default"/>
      </w:rPr>
    </w:lvl>
    <w:lvl w:ilvl="6" w:tplc="42308430" w:tentative="1">
      <w:start w:val="1"/>
      <w:numFmt w:val="bullet"/>
      <w:lvlText w:val="›"/>
      <w:lvlJc w:val="left"/>
      <w:pPr>
        <w:tabs>
          <w:tab w:val="num" w:pos="4680"/>
        </w:tabs>
        <w:ind w:left="4680" w:hanging="360"/>
      </w:pPr>
      <w:rPr>
        <w:rFonts w:ascii="Arial" w:hAnsi="Arial" w:hint="default"/>
      </w:rPr>
    </w:lvl>
    <w:lvl w:ilvl="7" w:tplc="9C9CBE44" w:tentative="1">
      <w:start w:val="1"/>
      <w:numFmt w:val="bullet"/>
      <w:lvlText w:val="›"/>
      <w:lvlJc w:val="left"/>
      <w:pPr>
        <w:tabs>
          <w:tab w:val="num" w:pos="5400"/>
        </w:tabs>
        <w:ind w:left="5400" w:hanging="360"/>
      </w:pPr>
      <w:rPr>
        <w:rFonts w:ascii="Arial" w:hAnsi="Arial" w:hint="default"/>
      </w:rPr>
    </w:lvl>
    <w:lvl w:ilvl="8" w:tplc="B172F9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32112"/>
    <w:multiLevelType w:val="hybridMultilevel"/>
    <w:tmpl w:val="BF40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D3A07"/>
    <w:multiLevelType w:val="hybridMultilevel"/>
    <w:tmpl w:val="9774D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8"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95A55"/>
    <w:multiLevelType w:val="hybridMultilevel"/>
    <w:tmpl w:val="787CD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70EFD"/>
    <w:multiLevelType w:val="hybridMultilevel"/>
    <w:tmpl w:val="2E0A8466"/>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17"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F1614"/>
    <w:multiLevelType w:val="hybridMultilevel"/>
    <w:tmpl w:val="57A00D5E"/>
    <w:lvl w:ilvl="0" w:tplc="1CD451C6">
      <w:start w:val="1"/>
      <w:numFmt w:val="bullet"/>
      <w:lvlText w:val="•"/>
      <w:lvlJc w:val="left"/>
      <w:pPr>
        <w:tabs>
          <w:tab w:val="num" w:pos="720"/>
        </w:tabs>
        <w:ind w:left="720" w:hanging="360"/>
      </w:pPr>
      <w:rPr>
        <w:rFonts w:ascii="Arial" w:hAnsi="Arial" w:hint="default"/>
      </w:rPr>
    </w:lvl>
    <w:lvl w:ilvl="1" w:tplc="99C6E9DE">
      <w:numFmt w:val="bullet"/>
      <w:lvlText w:val="–"/>
      <w:lvlJc w:val="left"/>
      <w:pPr>
        <w:tabs>
          <w:tab w:val="num" w:pos="1440"/>
        </w:tabs>
        <w:ind w:left="1440" w:hanging="360"/>
      </w:pPr>
      <w:rPr>
        <w:rFonts w:ascii="Arial" w:hAnsi="Arial" w:hint="default"/>
      </w:rPr>
    </w:lvl>
    <w:lvl w:ilvl="2" w:tplc="9738B086">
      <w:numFmt w:val="bullet"/>
      <w:lvlText w:val="•"/>
      <w:lvlJc w:val="left"/>
      <w:pPr>
        <w:tabs>
          <w:tab w:val="num" w:pos="2160"/>
        </w:tabs>
        <w:ind w:left="2160" w:hanging="360"/>
      </w:pPr>
      <w:rPr>
        <w:rFonts w:ascii="Arial" w:hAnsi="Arial" w:hint="default"/>
      </w:rPr>
    </w:lvl>
    <w:lvl w:ilvl="3" w:tplc="99C836C4">
      <w:numFmt w:val="bullet"/>
      <w:lvlText w:val="–"/>
      <w:lvlJc w:val="left"/>
      <w:pPr>
        <w:tabs>
          <w:tab w:val="num" w:pos="2880"/>
        </w:tabs>
        <w:ind w:left="2880" w:hanging="360"/>
      </w:pPr>
      <w:rPr>
        <w:rFonts w:ascii="Arial" w:hAnsi="Arial" w:hint="default"/>
      </w:rPr>
    </w:lvl>
    <w:lvl w:ilvl="4" w:tplc="5D504C02">
      <w:numFmt w:val="bullet"/>
      <w:lvlText w:val="»"/>
      <w:lvlJc w:val="left"/>
      <w:pPr>
        <w:tabs>
          <w:tab w:val="num" w:pos="3600"/>
        </w:tabs>
        <w:ind w:left="3600" w:hanging="360"/>
      </w:pPr>
      <w:rPr>
        <w:rFonts w:ascii="Arial" w:hAnsi="Arial" w:hint="default"/>
      </w:rPr>
    </w:lvl>
    <w:lvl w:ilvl="5" w:tplc="465464F8" w:tentative="1">
      <w:start w:val="1"/>
      <w:numFmt w:val="bullet"/>
      <w:lvlText w:val="•"/>
      <w:lvlJc w:val="left"/>
      <w:pPr>
        <w:tabs>
          <w:tab w:val="num" w:pos="4320"/>
        </w:tabs>
        <w:ind w:left="4320" w:hanging="360"/>
      </w:pPr>
      <w:rPr>
        <w:rFonts w:ascii="Arial" w:hAnsi="Arial" w:hint="default"/>
      </w:rPr>
    </w:lvl>
    <w:lvl w:ilvl="6" w:tplc="0CA2EC56" w:tentative="1">
      <w:start w:val="1"/>
      <w:numFmt w:val="bullet"/>
      <w:lvlText w:val="•"/>
      <w:lvlJc w:val="left"/>
      <w:pPr>
        <w:tabs>
          <w:tab w:val="num" w:pos="5040"/>
        </w:tabs>
        <w:ind w:left="5040" w:hanging="360"/>
      </w:pPr>
      <w:rPr>
        <w:rFonts w:ascii="Arial" w:hAnsi="Arial" w:hint="default"/>
      </w:rPr>
    </w:lvl>
    <w:lvl w:ilvl="7" w:tplc="5E42A6C2" w:tentative="1">
      <w:start w:val="1"/>
      <w:numFmt w:val="bullet"/>
      <w:lvlText w:val="•"/>
      <w:lvlJc w:val="left"/>
      <w:pPr>
        <w:tabs>
          <w:tab w:val="num" w:pos="5760"/>
        </w:tabs>
        <w:ind w:left="5760" w:hanging="360"/>
      </w:pPr>
      <w:rPr>
        <w:rFonts w:ascii="Arial" w:hAnsi="Arial" w:hint="default"/>
      </w:rPr>
    </w:lvl>
    <w:lvl w:ilvl="8" w:tplc="D89A04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010183"/>
    <w:multiLevelType w:val="hybridMultilevel"/>
    <w:tmpl w:val="6DF270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68C676B"/>
    <w:multiLevelType w:val="hybridMultilevel"/>
    <w:tmpl w:val="A684C010"/>
    <w:lvl w:ilvl="0" w:tplc="B748F824">
      <w:start w:val="1"/>
      <w:numFmt w:val="bullet"/>
      <w:lvlText w:val="•"/>
      <w:lvlJc w:val="left"/>
      <w:pPr>
        <w:tabs>
          <w:tab w:val="num" w:pos="-1440"/>
        </w:tabs>
        <w:ind w:left="-1440" w:hanging="360"/>
      </w:pPr>
      <w:rPr>
        <w:rFonts w:ascii="Arial" w:hAnsi="Arial" w:hint="default"/>
      </w:rPr>
    </w:lvl>
    <w:lvl w:ilvl="1" w:tplc="3C5E478E">
      <w:start w:val="274"/>
      <w:numFmt w:val="bullet"/>
      <w:lvlText w:val="–"/>
      <w:lvlJc w:val="left"/>
      <w:pPr>
        <w:tabs>
          <w:tab w:val="num" w:pos="-720"/>
        </w:tabs>
        <w:ind w:left="-720" w:hanging="360"/>
      </w:pPr>
      <w:rPr>
        <w:rFonts w:ascii="Arial" w:hAnsi="Arial" w:hint="default"/>
      </w:rPr>
    </w:lvl>
    <w:lvl w:ilvl="2" w:tplc="61544F30">
      <w:start w:val="274"/>
      <w:numFmt w:val="bullet"/>
      <w:lvlText w:val="•"/>
      <w:lvlJc w:val="left"/>
      <w:pPr>
        <w:tabs>
          <w:tab w:val="num" w:pos="0"/>
        </w:tabs>
        <w:ind w:left="0" w:hanging="360"/>
      </w:pPr>
      <w:rPr>
        <w:rFonts w:ascii="Arial" w:hAnsi="Arial" w:hint="default"/>
      </w:rPr>
    </w:lvl>
    <w:lvl w:ilvl="3" w:tplc="4B24294A">
      <w:start w:val="274"/>
      <w:numFmt w:val="bullet"/>
      <w:lvlText w:val="–"/>
      <w:lvlJc w:val="left"/>
      <w:pPr>
        <w:tabs>
          <w:tab w:val="num" w:pos="720"/>
        </w:tabs>
        <w:ind w:left="720" w:hanging="360"/>
      </w:pPr>
      <w:rPr>
        <w:rFonts w:ascii="Arial" w:hAnsi="Arial" w:hint="default"/>
      </w:rPr>
    </w:lvl>
    <w:lvl w:ilvl="4" w:tplc="5B84336A" w:tentative="1">
      <w:start w:val="1"/>
      <w:numFmt w:val="bullet"/>
      <w:lvlText w:val="•"/>
      <w:lvlJc w:val="left"/>
      <w:pPr>
        <w:tabs>
          <w:tab w:val="num" w:pos="1440"/>
        </w:tabs>
        <w:ind w:left="1440" w:hanging="360"/>
      </w:pPr>
      <w:rPr>
        <w:rFonts w:ascii="Arial" w:hAnsi="Arial" w:hint="default"/>
      </w:rPr>
    </w:lvl>
    <w:lvl w:ilvl="5" w:tplc="B18AA9DC" w:tentative="1">
      <w:start w:val="1"/>
      <w:numFmt w:val="bullet"/>
      <w:lvlText w:val="•"/>
      <w:lvlJc w:val="left"/>
      <w:pPr>
        <w:tabs>
          <w:tab w:val="num" w:pos="2160"/>
        </w:tabs>
        <w:ind w:left="2160" w:hanging="360"/>
      </w:pPr>
      <w:rPr>
        <w:rFonts w:ascii="Arial" w:hAnsi="Arial" w:hint="default"/>
      </w:rPr>
    </w:lvl>
    <w:lvl w:ilvl="6" w:tplc="FBBC0F2E" w:tentative="1">
      <w:start w:val="1"/>
      <w:numFmt w:val="bullet"/>
      <w:lvlText w:val="•"/>
      <w:lvlJc w:val="left"/>
      <w:pPr>
        <w:tabs>
          <w:tab w:val="num" w:pos="2880"/>
        </w:tabs>
        <w:ind w:left="2880" w:hanging="360"/>
      </w:pPr>
      <w:rPr>
        <w:rFonts w:ascii="Arial" w:hAnsi="Arial" w:hint="default"/>
      </w:rPr>
    </w:lvl>
    <w:lvl w:ilvl="7" w:tplc="BF246FA0" w:tentative="1">
      <w:start w:val="1"/>
      <w:numFmt w:val="bullet"/>
      <w:lvlText w:val="•"/>
      <w:lvlJc w:val="left"/>
      <w:pPr>
        <w:tabs>
          <w:tab w:val="num" w:pos="3600"/>
        </w:tabs>
        <w:ind w:left="3600" w:hanging="360"/>
      </w:pPr>
      <w:rPr>
        <w:rFonts w:ascii="Arial" w:hAnsi="Arial" w:hint="default"/>
      </w:rPr>
    </w:lvl>
    <w:lvl w:ilvl="8" w:tplc="D9A2A792" w:tentative="1">
      <w:start w:val="1"/>
      <w:numFmt w:val="bullet"/>
      <w:lvlText w:val="•"/>
      <w:lvlJc w:val="left"/>
      <w:pPr>
        <w:tabs>
          <w:tab w:val="num" w:pos="4320"/>
        </w:tabs>
        <w:ind w:left="4320" w:hanging="360"/>
      </w:pPr>
      <w:rPr>
        <w:rFonts w:ascii="Arial" w:hAnsi="Arial" w:hint="default"/>
      </w:rPr>
    </w:lvl>
  </w:abstractNum>
  <w:abstractNum w:abstractNumId="31" w15:restartNumberingAfterBreak="0">
    <w:nsid w:val="68EE4B54"/>
    <w:multiLevelType w:val="hybridMultilevel"/>
    <w:tmpl w:val="C01477CE"/>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471B73"/>
    <w:multiLevelType w:val="hybridMultilevel"/>
    <w:tmpl w:val="5E2C26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9"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37"/>
  </w:num>
  <w:num w:numId="3">
    <w:abstractNumId w:val="13"/>
  </w:num>
  <w:num w:numId="4">
    <w:abstractNumId w:val="7"/>
  </w:num>
  <w:num w:numId="5">
    <w:abstractNumId w:val="38"/>
  </w:num>
  <w:num w:numId="6">
    <w:abstractNumId w:val="34"/>
  </w:num>
  <w:num w:numId="7">
    <w:abstractNumId w:val="26"/>
  </w:num>
  <w:num w:numId="8">
    <w:abstractNumId w:val="35"/>
  </w:num>
  <w:num w:numId="9">
    <w:abstractNumId w:val="9"/>
  </w:num>
  <w:num w:numId="10">
    <w:abstractNumId w:val="8"/>
  </w:num>
  <w:num w:numId="11">
    <w:abstractNumId w:val="12"/>
  </w:num>
  <w:num w:numId="12">
    <w:abstractNumId w:val="18"/>
  </w:num>
  <w:num w:numId="13">
    <w:abstractNumId w:val="21"/>
  </w:num>
  <w:num w:numId="14">
    <w:abstractNumId w:val="22"/>
  </w:num>
  <w:num w:numId="15">
    <w:abstractNumId w:val="33"/>
  </w:num>
  <w:num w:numId="16">
    <w:abstractNumId w:val="3"/>
  </w:num>
  <w:num w:numId="17">
    <w:abstractNumId w:val="17"/>
  </w:num>
  <w:num w:numId="18">
    <w:abstractNumId w:val="31"/>
  </w:num>
  <w:num w:numId="19">
    <w:abstractNumId w:val="32"/>
  </w:num>
  <w:num w:numId="20">
    <w:abstractNumId w:val="11"/>
  </w:num>
  <w:num w:numId="21">
    <w:abstractNumId w:val="39"/>
  </w:num>
  <w:num w:numId="22">
    <w:abstractNumId w:val="14"/>
  </w:num>
  <w:num w:numId="23">
    <w:abstractNumId w:val="1"/>
  </w:num>
  <w:num w:numId="24">
    <w:abstractNumId w:val="2"/>
  </w:num>
  <w:num w:numId="25">
    <w:abstractNumId w:val="10"/>
  </w:num>
  <w:num w:numId="26">
    <w:abstractNumId w:val="28"/>
  </w:num>
  <w:num w:numId="27">
    <w:abstractNumId w:val="30"/>
  </w:num>
  <w:num w:numId="28">
    <w:abstractNumId w:val="6"/>
  </w:num>
  <w:num w:numId="29">
    <w:abstractNumId w:val="15"/>
  </w:num>
  <w:num w:numId="30">
    <w:abstractNumId w:val="25"/>
  </w:num>
  <w:num w:numId="31">
    <w:abstractNumId w:val="26"/>
  </w:num>
  <w:num w:numId="32">
    <w:abstractNumId w:val="20"/>
  </w:num>
  <w:num w:numId="33">
    <w:abstractNumId w:val="20"/>
  </w:num>
  <w:num w:numId="34">
    <w:abstractNumId w:val="20"/>
  </w:num>
  <w:num w:numId="35">
    <w:abstractNumId w:val="0"/>
  </w:num>
  <w:num w:numId="36">
    <w:abstractNumId w:val="24"/>
  </w:num>
  <w:num w:numId="37">
    <w:abstractNumId w:val="16"/>
  </w:num>
  <w:num w:numId="38">
    <w:abstractNumId w:val="29"/>
  </w:num>
  <w:num w:numId="39">
    <w:abstractNumId w:val="20"/>
  </w:num>
  <w:num w:numId="40">
    <w:abstractNumId w:val="20"/>
  </w:num>
  <w:num w:numId="41">
    <w:abstractNumId w:val="20"/>
  </w:num>
  <w:num w:numId="42">
    <w:abstractNumId w:val="20"/>
  </w:num>
  <w:num w:numId="43">
    <w:abstractNumId w:val="5"/>
  </w:num>
  <w:num w:numId="44">
    <w:abstractNumId w:val="19"/>
  </w:num>
  <w:num w:numId="45">
    <w:abstractNumId w:val="4"/>
  </w:num>
  <w:num w:numId="46">
    <w:abstractNumId w:val="36"/>
  </w:num>
  <w:num w:numId="47">
    <w:abstractNumId w:val="27"/>
  </w:num>
  <w:num w:numId="48">
    <w:abstractNumId w:val="23"/>
  </w:num>
  <w:num w:numId="49">
    <w:abstractNumId w:val="20"/>
  </w:num>
  <w:num w:numId="5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9C0"/>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07F6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DAF"/>
    <w:rsid w:val="00020FCD"/>
    <w:rsid w:val="0002108C"/>
    <w:rsid w:val="00021ABC"/>
    <w:rsid w:val="00021FA0"/>
    <w:rsid w:val="0002211B"/>
    <w:rsid w:val="00022139"/>
    <w:rsid w:val="00022A63"/>
    <w:rsid w:val="00023E3C"/>
    <w:rsid w:val="0002422A"/>
    <w:rsid w:val="00024710"/>
    <w:rsid w:val="00024CB3"/>
    <w:rsid w:val="00024F2B"/>
    <w:rsid w:val="00025129"/>
    <w:rsid w:val="000257ED"/>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43E"/>
    <w:rsid w:val="00034600"/>
    <w:rsid w:val="00034C5F"/>
    <w:rsid w:val="00034DA5"/>
    <w:rsid w:val="000351B3"/>
    <w:rsid w:val="000354A0"/>
    <w:rsid w:val="000361CE"/>
    <w:rsid w:val="00036AD6"/>
    <w:rsid w:val="000370DA"/>
    <w:rsid w:val="000372AB"/>
    <w:rsid w:val="0003741A"/>
    <w:rsid w:val="00040094"/>
    <w:rsid w:val="0004035C"/>
    <w:rsid w:val="000408DB"/>
    <w:rsid w:val="00040C36"/>
    <w:rsid w:val="0004272B"/>
    <w:rsid w:val="00043085"/>
    <w:rsid w:val="000435B0"/>
    <w:rsid w:val="0004371B"/>
    <w:rsid w:val="00043968"/>
    <w:rsid w:val="00043D7E"/>
    <w:rsid w:val="00044117"/>
    <w:rsid w:val="00044183"/>
    <w:rsid w:val="00044A52"/>
    <w:rsid w:val="00044A95"/>
    <w:rsid w:val="00044C31"/>
    <w:rsid w:val="00045F9C"/>
    <w:rsid w:val="000462E8"/>
    <w:rsid w:val="000468AA"/>
    <w:rsid w:val="00046AD7"/>
    <w:rsid w:val="00046C4F"/>
    <w:rsid w:val="000473B2"/>
    <w:rsid w:val="00047555"/>
    <w:rsid w:val="00047E14"/>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19F"/>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87D"/>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97CC0"/>
    <w:rsid w:val="000A01CD"/>
    <w:rsid w:val="000A0237"/>
    <w:rsid w:val="000A040C"/>
    <w:rsid w:val="000A068E"/>
    <w:rsid w:val="000A06F5"/>
    <w:rsid w:val="000A080C"/>
    <w:rsid w:val="000A0CFA"/>
    <w:rsid w:val="000A1181"/>
    <w:rsid w:val="000A1B26"/>
    <w:rsid w:val="000A26E3"/>
    <w:rsid w:val="000A308E"/>
    <w:rsid w:val="000A378F"/>
    <w:rsid w:val="000A38B3"/>
    <w:rsid w:val="000A38D5"/>
    <w:rsid w:val="000A398B"/>
    <w:rsid w:val="000A3DBE"/>
    <w:rsid w:val="000A40DD"/>
    <w:rsid w:val="000A41E3"/>
    <w:rsid w:val="000A4308"/>
    <w:rsid w:val="000A4C50"/>
    <w:rsid w:val="000A5854"/>
    <w:rsid w:val="000A58EB"/>
    <w:rsid w:val="000A5A30"/>
    <w:rsid w:val="000A5B2F"/>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23F"/>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10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15D"/>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8AF"/>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0DE"/>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4E5B"/>
    <w:rsid w:val="0014569F"/>
    <w:rsid w:val="001458CC"/>
    <w:rsid w:val="001466AC"/>
    <w:rsid w:val="00147000"/>
    <w:rsid w:val="0014713F"/>
    <w:rsid w:val="00147314"/>
    <w:rsid w:val="00147455"/>
    <w:rsid w:val="001476F9"/>
    <w:rsid w:val="001477D6"/>
    <w:rsid w:val="00147E11"/>
    <w:rsid w:val="00147ED3"/>
    <w:rsid w:val="00150424"/>
    <w:rsid w:val="0015086E"/>
    <w:rsid w:val="00150902"/>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94F"/>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A97"/>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F5A"/>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6FE5"/>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627"/>
    <w:rsid w:val="001D49A9"/>
    <w:rsid w:val="001D4A38"/>
    <w:rsid w:val="001D4D27"/>
    <w:rsid w:val="001D4F46"/>
    <w:rsid w:val="001D5002"/>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BA4"/>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99A"/>
    <w:rsid w:val="0024209B"/>
    <w:rsid w:val="00243667"/>
    <w:rsid w:val="00243B92"/>
    <w:rsid w:val="0024429C"/>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1E0"/>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CF3"/>
    <w:rsid w:val="0026773C"/>
    <w:rsid w:val="00267E6E"/>
    <w:rsid w:val="002701E1"/>
    <w:rsid w:val="00270BDC"/>
    <w:rsid w:val="002711B7"/>
    <w:rsid w:val="00271493"/>
    <w:rsid w:val="002718BD"/>
    <w:rsid w:val="00271D56"/>
    <w:rsid w:val="00271EEA"/>
    <w:rsid w:val="002724D9"/>
    <w:rsid w:val="00272951"/>
    <w:rsid w:val="00272EA5"/>
    <w:rsid w:val="0027313D"/>
    <w:rsid w:val="002733BC"/>
    <w:rsid w:val="002739DF"/>
    <w:rsid w:val="00273B8C"/>
    <w:rsid w:val="00273BB4"/>
    <w:rsid w:val="0027409D"/>
    <w:rsid w:val="002745AE"/>
    <w:rsid w:val="00274A2A"/>
    <w:rsid w:val="00274ACC"/>
    <w:rsid w:val="0027505A"/>
    <w:rsid w:val="002750F3"/>
    <w:rsid w:val="00275534"/>
    <w:rsid w:val="002756C1"/>
    <w:rsid w:val="00275D8B"/>
    <w:rsid w:val="0027642A"/>
    <w:rsid w:val="002765D2"/>
    <w:rsid w:val="00276753"/>
    <w:rsid w:val="002770D7"/>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0C7B"/>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433C"/>
    <w:rsid w:val="002F451F"/>
    <w:rsid w:val="002F45A5"/>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3B13"/>
    <w:rsid w:val="0030412E"/>
    <w:rsid w:val="0030425B"/>
    <w:rsid w:val="00304BA3"/>
    <w:rsid w:val="0030502F"/>
    <w:rsid w:val="003054C5"/>
    <w:rsid w:val="0030587E"/>
    <w:rsid w:val="00305BD9"/>
    <w:rsid w:val="00305DD6"/>
    <w:rsid w:val="00305EA2"/>
    <w:rsid w:val="00306CA9"/>
    <w:rsid w:val="00306D3B"/>
    <w:rsid w:val="0030746A"/>
    <w:rsid w:val="003074A1"/>
    <w:rsid w:val="0030798A"/>
    <w:rsid w:val="00307F04"/>
    <w:rsid w:val="00307FC6"/>
    <w:rsid w:val="00310299"/>
    <w:rsid w:val="003104AE"/>
    <w:rsid w:val="0031054A"/>
    <w:rsid w:val="00310A6F"/>
    <w:rsid w:val="00310B90"/>
    <w:rsid w:val="003111DC"/>
    <w:rsid w:val="0031197D"/>
    <w:rsid w:val="00311B1D"/>
    <w:rsid w:val="0031207B"/>
    <w:rsid w:val="003122F0"/>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DEE"/>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71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3CDC"/>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092"/>
    <w:rsid w:val="00380167"/>
    <w:rsid w:val="0038038A"/>
    <w:rsid w:val="003807D3"/>
    <w:rsid w:val="00380BE6"/>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3F0"/>
    <w:rsid w:val="0038645C"/>
    <w:rsid w:val="003864CE"/>
    <w:rsid w:val="00386BE8"/>
    <w:rsid w:val="00386C0C"/>
    <w:rsid w:val="0038736A"/>
    <w:rsid w:val="00387445"/>
    <w:rsid w:val="00387D4C"/>
    <w:rsid w:val="00387E55"/>
    <w:rsid w:val="0039030E"/>
    <w:rsid w:val="00390338"/>
    <w:rsid w:val="0039040A"/>
    <w:rsid w:val="00390A6E"/>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A30"/>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9BA"/>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1"/>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8C8"/>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0"/>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8E0"/>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FB"/>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1A5C"/>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DB7"/>
    <w:rsid w:val="004774C3"/>
    <w:rsid w:val="0047750A"/>
    <w:rsid w:val="00477800"/>
    <w:rsid w:val="00477A3F"/>
    <w:rsid w:val="00477E81"/>
    <w:rsid w:val="004804D9"/>
    <w:rsid w:val="00480598"/>
    <w:rsid w:val="0048068C"/>
    <w:rsid w:val="00480748"/>
    <w:rsid w:val="004807C2"/>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9B1"/>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0FE"/>
    <w:rsid w:val="004A720D"/>
    <w:rsid w:val="004A73FA"/>
    <w:rsid w:val="004A7478"/>
    <w:rsid w:val="004A79D5"/>
    <w:rsid w:val="004B02AF"/>
    <w:rsid w:val="004B0843"/>
    <w:rsid w:val="004B095C"/>
    <w:rsid w:val="004B0E80"/>
    <w:rsid w:val="004B13D1"/>
    <w:rsid w:val="004B150F"/>
    <w:rsid w:val="004B1B6D"/>
    <w:rsid w:val="004B1C4D"/>
    <w:rsid w:val="004B1F16"/>
    <w:rsid w:val="004B2E50"/>
    <w:rsid w:val="004B329F"/>
    <w:rsid w:val="004B357C"/>
    <w:rsid w:val="004B3663"/>
    <w:rsid w:val="004B3687"/>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2074"/>
    <w:rsid w:val="004C265D"/>
    <w:rsid w:val="004C2720"/>
    <w:rsid w:val="004C28E8"/>
    <w:rsid w:val="004C2CEF"/>
    <w:rsid w:val="004C38B6"/>
    <w:rsid w:val="004C3C03"/>
    <w:rsid w:val="004C4513"/>
    <w:rsid w:val="004C4785"/>
    <w:rsid w:val="004C4AC0"/>
    <w:rsid w:val="004C503B"/>
    <w:rsid w:val="004C5683"/>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CB1"/>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6AA"/>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58D"/>
    <w:rsid w:val="0051595B"/>
    <w:rsid w:val="005161BF"/>
    <w:rsid w:val="005165B5"/>
    <w:rsid w:val="005170FF"/>
    <w:rsid w:val="00517E1F"/>
    <w:rsid w:val="00517F3F"/>
    <w:rsid w:val="005200A3"/>
    <w:rsid w:val="0052016E"/>
    <w:rsid w:val="00520221"/>
    <w:rsid w:val="00520263"/>
    <w:rsid w:val="00520999"/>
    <w:rsid w:val="005211CF"/>
    <w:rsid w:val="005214C7"/>
    <w:rsid w:val="00521707"/>
    <w:rsid w:val="005217EB"/>
    <w:rsid w:val="0052191A"/>
    <w:rsid w:val="00521D4F"/>
    <w:rsid w:val="00521FB1"/>
    <w:rsid w:val="005220F2"/>
    <w:rsid w:val="00522D13"/>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39A"/>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073"/>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3A7"/>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4D8D"/>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5564"/>
    <w:rsid w:val="005E60C8"/>
    <w:rsid w:val="005E6128"/>
    <w:rsid w:val="005E6206"/>
    <w:rsid w:val="005E6352"/>
    <w:rsid w:val="005E64DA"/>
    <w:rsid w:val="005E661E"/>
    <w:rsid w:val="005E68C2"/>
    <w:rsid w:val="005E6F54"/>
    <w:rsid w:val="005E6FAB"/>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18E1"/>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38"/>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6769"/>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0E22"/>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780"/>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025"/>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8E6"/>
    <w:rsid w:val="006A501A"/>
    <w:rsid w:val="006A5075"/>
    <w:rsid w:val="006A51C3"/>
    <w:rsid w:val="006A5646"/>
    <w:rsid w:val="006A568E"/>
    <w:rsid w:val="006A59EF"/>
    <w:rsid w:val="006A6333"/>
    <w:rsid w:val="006A657D"/>
    <w:rsid w:val="006A6642"/>
    <w:rsid w:val="006A72D5"/>
    <w:rsid w:val="006A7429"/>
    <w:rsid w:val="006A7F50"/>
    <w:rsid w:val="006B023E"/>
    <w:rsid w:val="006B05AC"/>
    <w:rsid w:val="006B05D3"/>
    <w:rsid w:val="006B0A09"/>
    <w:rsid w:val="006B0ACF"/>
    <w:rsid w:val="006B0CE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146"/>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B3C"/>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D7DCA"/>
    <w:rsid w:val="006E0577"/>
    <w:rsid w:val="006E1777"/>
    <w:rsid w:val="006E195E"/>
    <w:rsid w:val="006E1B3B"/>
    <w:rsid w:val="006E2174"/>
    <w:rsid w:val="006E2264"/>
    <w:rsid w:val="006E2343"/>
    <w:rsid w:val="006E24A4"/>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2CA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B66"/>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568"/>
    <w:rsid w:val="007407ED"/>
    <w:rsid w:val="00740E7A"/>
    <w:rsid w:val="00741068"/>
    <w:rsid w:val="007416ED"/>
    <w:rsid w:val="00741832"/>
    <w:rsid w:val="00741858"/>
    <w:rsid w:val="00742735"/>
    <w:rsid w:val="00742B32"/>
    <w:rsid w:val="00742DB2"/>
    <w:rsid w:val="00743245"/>
    <w:rsid w:val="00743846"/>
    <w:rsid w:val="007447D1"/>
    <w:rsid w:val="00744872"/>
    <w:rsid w:val="0074491F"/>
    <w:rsid w:val="00744AB1"/>
    <w:rsid w:val="00745073"/>
    <w:rsid w:val="00745A6A"/>
    <w:rsid w:val="00745B55"/>
    <w:rsid w:val="007474D0"/>
    <w:rsid w:val="00747A04"/>
    <w:rsid w:val="00747E53"/>
    <w:rsid w:val="00747F6F"/>
    <w:rsid w:val="00750126"/>
    <w:rsid w:val="007501A3"/>
    <w:rsid w:val="00750D9E"/>
    <w:rsid w:val="00750EEA"/>
    <w:rsid w:val="007513D9"/>
    <w:rsid w:val="00751935"/>
    <w:rsid w:val="00751A5E"/>
    <w:rsid w:val="00751FBD"/>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0E2E"/>
    <w:rsid w:val="00761089"/>
    <w:rsid w:val="00761B3C"/>
    <w:rsid w:val="0076261A"/>
    <w:rsid w:val="0076283B"/>
    <w:rsid w:val="00763354"/>
    <w:rsid w:val="00763553"/>
    <w:rsid w:val="00763663"/>
    <w:rsid w:val="00763DA4"/>
    <w:rsid w:val="00764161"/>
    <w:rsid w:val="00764808"/>
    <w:rsid w:val="00764A5D"/>
    <w:rsid w:val="00765269"/>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086D"/>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485"/>
    <w:rsid w:val="007816A6"/>
    <w:rsid w:val="007817FD"/>
    <w:rsid w:val="007824BB"/>
    <w:rsid w:val="0078252D"/>
    <w:rsid w:val="007825DC"/>
    <w:rsid w:val="00782664"/>
    <w:rsid w:val="00782909"/>
    <w:rsid w:val="00782BF1"/>
    <w:rsid w:val="007838C3"/>
    <w:rsid w:val="00783BA6"/>
    <w:rsid w:val="007843CB"/>
    <w:rsid w:val="00784510"/>
    <w:rsid w:val="0078484D"/>
    <w:rsid w:val="00784A03"/>
    <w:rsid w:val="00784E8A"/>
    <w:rsid w:val="00784EAF"/>
    <w:rsid w:val="0078550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0BE2"/>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5FC"/>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7AC"/>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4C16"/>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4E6A"/>
    <w:rsid w:val="008855D6"/>
    <w:rsid w:val="008857E4"/>
    <w:rsid w:val="00885B1C"/>
    <w:rsid w:val="00885C69"/>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A8F"/>
    <w:rsid w:val="008A0CC2"/>
    <w:rsid w:val="008A184B"/>
    <w:rsid w:val="008A1DE4"/>
    <w:rsid w:val="008A2230"/>
    <w:rsid w:val="008A26A6"/>
    <w:rsid w:val="008A27B1"/>
    <w:rsid w:val="008A2984"/>
    <w:rsid w:val="008A2BC7"/>
    <w:rsid w:val="008A2CD1"/>
    <w:rsid w:val="008A2EEC"/>
    <w:rsid w:val="008A3368"/>
    <w:rsid w:val="008A3A29"/>
    <w:rsid w:val="008A3E47"/>
    <w:rsid w:val="008A3E82"/>
    <w:rsid w:val="008A40BE"/>
    <w:rsid w:val="008A40C1"/>
    <w:rsid w:val="008A41B7"/>
    <w:rsid w:val="008A48EC"/>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BCD"/>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D69"/>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27CA"/>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0C4D"/>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2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26A4"/>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07"/>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835"/>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4FB"/>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3D"/>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424"/>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06"/>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18C"/>
    <w:rsid w:val="00AB566F"/>
    <w:rsid w:val="00AB5EFA"/>
    <w:rsid w:val="00AB6671"/>
    <w:rsid w:val="00AB6B62"/>
    <w:rsid w:val="00AB6EED"/>
    <w:rsid w:val="00AB6F4E"/>
    <w:rsid w:val="00AB7069"/>
    <w:rsid w:val="00AB71D5"/>
    <w:rsid w:val="00AB72BF"/>
    <w:rsid w:val="00AB78BF"/>
    <w:rsid w:val="00AB78CD"/>
    <w:rsid w:val="00AB7FA0"/>
    <w:rsid w:val="00AC02C4"/>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6E6E"/>
    <w:rsid w:val="00AC7003"/>
    <w:rsid w:val="00AC7047"/>
    <w:rsid w:val="00AC7C05"/>
    <w:rsid w:val="00AC7CEA"/>
    <w:rsid w:val="00AC7DD3"/>
    <w:rsid w:val="00AC7DF8"/>
    <w:rsid w:val="00AC7EF9"/>
    <w:rsid w:val="00AD0108"/>
    <w:rsid w:val="00AD01BB"/>
    <w:rsid w:val="00AD02E8"/>
    <w:rsid w:val="00AD0301"/>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29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5F2D"/>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AD7"/>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0C25"/>
    <w:rsid w:val="00B110D2"/>
    <w:rsid w:val="00B11881"/>
    <w:rsid w:val="00B11AC6"/>
    <w:rsid w:val="00B11C21"/>
    <w:rsid w:val="00B11F6C"/>
    <w:rsid w:val="00B12A20"/>
    <w:rsid w:val="00B12FE0"/>
    <w:rsid w:val="00B13942"/>
    <w:rsid w:val="00B13E1C"/>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7CB"/>
    <w:rsid w:val="00B245C6"/>
    <w:rsid w:val="00B24DB2"/>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8D6"/>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509"/>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10FD"/>
    <w:rsid w:val="00B515EE"/>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C1F"/>
    <w:rsid w:val="00B56E4F"/>
    <w:rsid w:val="00B576BC"/>
    <w:rsid w:val="00B578AD"/>
    <w:rsid w:val="00B603DD"/>
    <w:rsid w:val="00B60CB4"/>
    <w:rsid w:val="00B6189F"/>
    <w:rsid w:val="00B61F31"/>
    <w:rsid w:val="00B62E26"/>
    <w:rsid w:val="00B62E52"/>
    <w:rsid w:val="00B633B1"/>
    <w:rsid w:val="00B636C3"/>
    <w:rsid w:val="00B63B54"/>
    <w:rsid w:val="00B6506A"/>
    <w:rsid w:val="00B652AC"/>
    <w:rsid w:val="00B65810"/>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BBC"/>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88B"/>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81D"/>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68E"/>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6D6"/>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31C"/>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03D"/>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5E2B"/>
    <w:rsid w:val="00C561BF"/>
    <w:rsid w:val="00C5634E"/>
    <w:rsid w:val="00C56B40"/>
    <w:rsid w:val="00C573FF"/>
    <w:rsid w:val="00C57427"/>
    <w:rsid w:val="00C57ECA"/>
    <w:rsid w:val="00C602CD"/>
    <w:rsid w:val="00C60751"/>
    <w:rsid w:val="00C60B92"/>
    <w:rsid w:val="00C60DAB"/>
    <w:rsid w:val="00C60EC5"/>
    <w:rsid w:val="00C60FB0"/>
    <w:rsid w:val="00C610D0"/>
    <w:rsid w:val="00C6126C"/>
    <w:rsid w:val="00C612DD"/>
    <w:rsid w:val="00C6145E"/>
    <w:rsid w:val="00C61772"/>
    <w:rsid w:val="00C61C4C"/>
    <w:rsid w:val="00C61CD9"/>
    <w:rsid w:val="00C63306"/>
    <w:rsid w:val="00C63335"/>
    <w:rsid w:val="00C63407"/>
    <w:rsid w:val="00C63692"/>
    <w:rsid w:val="00C63A6E"/>
    <w:rsid w:val="00C63AE5"/>
    <w:rsid w:val="00C63BBE"/>
    <w:rsid w:val="00C63D5D"/>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A33"/>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6CCE"/>
    <w:rsid w:val="00CC72C9"/>
    <w:rsid w:val="00CC7DEB"/>
    <w:rsid w:val="00CD04A0"/>
    <w:rsid w:val="00CD05CA"/>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CE8"/>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CF7C67"/>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3D"/>
    <w:rsid w:val="00D05592"/>
    <w:rsid w:val="00D059A4"/>
    <w:rsid w:val="00D06029"/>
    <w:rsid w:val="00D06210"/>
    <w:rsid w:val="00D0694B"/>
    <w:rsid w:val="00D0749A"/>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CD0"/>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4E5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C95"/>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097"/>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124"/>
    <w:rsid w:val="00DB2E8C"/>
    <w:rsid w:val="00DB2F0F"/>
    <w:rsid w:val="00DB3033"/>
    <w:rsid w:val="00DB304B"/>
    <w:rsid w:val="00DB3FD3"/>
    <w:rsid w:val="00DB433E"/>
    <w:rsid w:val="00DB4456"/>
    <w:rsid w:val="00DB44FC"/>
    <w:rsid w:val="00DB464C"/>
    <w:rsid w:val="00DB4D98"/>
    <w:rsid w:val="00DB524A"/>
    <w:rsid w:val="00DB52C9"/>
    <w:rsid w:val="00DB586B"/>
    <w:rsid w:val="00DB5D24"/>
    <w:rsid w:val="00DB6087"/>
    <w:rsid w:val="00DB608E"/>
    <w:rsid w:val="00DB67E8"/>
    <w:rsid w:val="00DB68F8"/>
    <w:rsid w:val="00DB714F"/>
    <w:rsid w:val="00DB7400"/>
    <w:rsid w:val="00DB7ABF"/>
    <w:rsid w:val="00DC018F"/>
    <w:rsid w:val="00DC02DE"/>
    <w:rsid w:val="00DC0A49"/>
    <w:rsid w:val="00DC13AD"/>
    <w:rsid w:val="00DC15C1"/>
    <w:rsid w:val="00DC17A5"/>
    <w:rsid w:val="00DC2405"/>
    <w:rsid w:val="00DC3122"/>
    <w:rsid w:val="00DC3829"/>
    <w:rsid w:val="00DC3B2D"/>
    <w:rsid w:val="00DC41E2"/>
    <w:rsid w:val="00DC4620"/>
    <w:rsid w:val="00DC54F7"/>
    <w:rsid w:val="00DC5692"/>
    <w:rsid w:val="00DC56E0"/>
    <w:rsid w:val="00DC61CC"/>
    <w:rsid w:val="00DC65A3"/>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47E"/>
    <w:rsid w:val="00DE48E0"/>
    <w:rsid w:val="00DE48EC"/>
    <w:rsid w:val="00DE4D83"/>
    <w:rsid w:val="00DE527C"/>
    <w:rsid w:val="00DE5510"/>
    <w:rsid w:val="00DE556A"/>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3D0C"/>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2EC0"/>
    <w:rsid w:val="00E13596"/>
    <w:rsid w:val="00E135EA"/>
    <w:rsid w:val="00E139D1"/>
    <w:rsid w:val="00E13A9A"/>
    <w:rsid w:val="00E142C6"/>
    <w:rsid w:val="00E14D32"/>
    <w:rsid w:val="00E1526F"/>
    <w:rsid w:val="00E15278"/>
    <w:rsid w:val="00E15FFF"/>
    <w:rsid w:val="00E16063"/>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BA0"/>
    <w:rsid w:val="00E62139"/>
    <w:rsid w:val="00E622F4"/>
    <w:rsid w:val="00E62305"/>
    <w:rsid w:val="00E62D2B"/>
    <w:rsid w:val="00E62EA8"/>
    <w:rsid w:val="00E630DB"/>
    <w:rsid w:val="00E635C2"/>
    <w:rsid w:val="00E63F28"/>
    <w:rsid w:val="00E64791"/>
    <w:rsid w:val="00E6482C"/>
    <w:rsid w:val="00E64D78"/>
    <w:rsid w:val="00E64DC3"/>
    <w:rsid w:val="00E64EB8"/>
    <w:rsid w:val="00E65341"/>
    <w:rsid w:val="00E6537C"/>
    <w:rsid w:val="00E653FE"/>
    <w:rsid w:val="00E6553C"/>
    <w:rsid w:val="00E65876"/>
    <w:rsid w:val="00E659C4"/>
    <w:rsid w:val="00E660BD"/>
    <w:rsid w:val="00E6617D"/>
    <w:rsid w:val="00E66415"/>
    <w:rsid w:val="00E6643E"/>
    <w:rsid w:val="00E6652D"/>
    <w:rsid w:val="00E67CEC"/>
    <w:rsid w:val="00E67FD8"/>
    <w:rsid w:val="00E7008A"/>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B16"/>
    <w:rsid w:val="00EB2184"/>
    <w:rsid w:val="00EB242F"/>
    <w:rsid w:val="00EB2536"/>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4F96"/>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4EE"/>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3CF"/>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5C6F"/>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6F9A"/>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2DA"/>
    <w:rsid w:val="00F8430D"/>
    <w:rsid w:val="00F84621"/>
    <w:rsid w:val="00F84697"/>
    <w:rsid w:val="00F84A0A"/>
    <w:rsid w:val="00F85352"/>
    <w:rsid w:val="00F8539F"/>
    <w:rsid w:val="00F855A3"/>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20F"/>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651"/>
    <w:rsid w:val="00FA07A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D2B"/>
    <w:rsid w:val="00FB7F72"/>
    <w:rsid w:val="00FB7FF4"/>
    <w:rsid w:val="00FC01A8"/>
    <w:rsid w:val="00FC065F"/>
    <w:rsid w:val="00FC08C2"/>
    <w:rsid w:val="00FC0900"/>
    <w:rsid w:val="00FC0B08"/>
    <w:rsid w:val="00FC0DBE"/>
    <w:rsid w:val="00FC0EE8"/>
    <w:rsid w:val="00FC0F5B"/>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BC7"/>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36C"/>
    <w:rsid w:val="00FF497C"/>
    <w:rsid w:val="00FF58A4"/>
    <w:rsid w:val="00FF594E"/>
    <w:rsid w:val="00FF5EA6"/>
    <w:rsid w:val="00FF5F02"/>
    <w:rsid w:val="00FF5F69"/>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15:docId w15:val="{7097260C-7848-4F8B-B6CE-DAE9F8FF9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3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2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3181837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3159606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590041306">
      <w:bodyDiv w:val="1"/>
      <w:marLeft w:val="0"/>
      <w:marRight w:val="0"/>
      <w:marTop w:val="0"/>
      <w:marBottom w:val="0"/>
      <w:divBdr>
        <w:top w:val="none" w:sz="0" w:space="0" w:color="auto"/>
        <w:left w:val="none" w:sz="0" w:space="0" w:color="auto"/>
        <w:bottom w:val="none" w:sz="0" w:space="0" w:color="auto"/>
        <w:right w:val="none" w:sz="0" w:space="0" w:color="auto"/>
      </w:divBdr>
      <w:divsChild>
        <w:div w:id="1896240193">
          <w:marLeft w:val="547"/>
          <w:marRight w:val="0"/>
          <w:marTop w:val="106"/>
          <w:marBottom w:val="0"/>
          <w:divBdr>
            <w:top w:val="none" w:sz="0" w:space="0" w:color="auto"/>
            <w:left w:val="none" w:sz="0" w:space="0" w:color="auto"/>
            <w:bottom w:val="none" w:sz="0" w:space="0" w:color="auto"/>
            <w:right w:val="none" w:sz="0" w:space="0" w:color="auto"/>
          </w:divBdr>
        </w:div>
        <w:div w:id="399911778">
          <w:marLeft w:val="1166"/>
          <w:marRight w:val="0"/>
          <w:marTop w:val="96"/>
          <w:marBottom w:val="0"/>
          <w:divBdr>
            <w:top w:val="none" w:sz="0" w:space="0" w:color="auto"/>
            <w:left w:val="none" w:sz="0" w:space="0" w:color="auto"/>
            <w:bottom w:val="none" w:sz="0" w:space="0" w:color="auto"/>
            <w:right w:val="none" w:sz="0" w:space="0" w:color="auto"/>
          </w:divBdr>
        </w:div>
        <w:div w:id="441413982">
          <w:marLeft w:val="1800"/>
          <w:marRight w:val="0"/>
          <w:marTop w:val="82"/>
          <w:marBottom w:val="0"/>
          <w:divBdr>
            <w:top w:val="none" w:sz="0" w:space="0" w:color="auto"/>
            <w:left w:val="none" w:sz="0" w:space="0" w:color="auto"/>
            <w:bottom w:val="none" w:sz="0" w:space="0" w:color="auto"/>
            <w:right w:val="none" w:sz="0" w:space="0" w:color="auto"/>
          </w:divBdr>
        </w:div>
        <w:div w:id="1243374943">
          <w:marLeft w:val="2520"/>
          <w:marRight w:val="0"/>
          <w:marTop w:val="67"/>
          <w:marBottom w:val="0"/>
          <w:divBdr>
            <w:top w:val="none" w:sz="0" w:space="0" w:color="auto"/>
            <w:left w:val="none" w:sz="0" w:space="0" w:color="auto"/>
            <w:bottom w:val="none" w:sz="0" w:space="0" w:color="auto"/>
            <w:right w:val="none" w:sz="0" w:space="0" w:color="auto"/>
          </w:divBdr>
        </w:div>
        <w:div w:id="1641377936">
          <w:marLeft w:val="2520"/>
          <w:marRight w:val="0"/>
          <w:marTop w:val="67"/>
          <w:marBottom w:val="0"/>
          <w:divBdr>
            <w:top w:val="none" w:sz="0" w:space="0" w:color="auto"/>
            <w:left w:val="none" w:sz="0" w:space="0" w:color="auto"/>
            <w:bottom w:val="none" w:sz="0" w:space="0" w:color="auto"/>
            <w:right w:val="none" w:sz="0" w:space="0" w:color="auto"/>
          </w:divBdr>
        </w:div>
        <w:div w:id="1142846270">
          <w:marLeft w:val="3240"/>
          <w:marRight w:val="0"/>
          <w:marTop w:val="67"/>
          <w:marBottom w:val="0"/>
          <w:divBdr>
            <w:top w:val="none" w:sz="0" w:space="0" w:color="auto"/>
            <w:left w:val="none" w:sz="0" w:space="0" w:color="auto"/>
            <w:bottom w:val="none" w:sz="0" w:space="0" w:color="auto"/>
            <w:right w:val="none" w:sz="0" w:space="0" w:color="auto"/>
          </w:divBdr>
        </w:div>
        <w:div w:id="1734086610">
          <w:marLeft w:val="1166"/>
          <w:marRight w:val="0"/>
          <w:marTop w:val="96"/>
          <w:marBottom w:val="0"/>
          <w:divBdr>
            <w:top w:val="none" w:sz="0" w:space="0" w:color="auto"/>
            <w:left w:val="none" w:sz="0" w:space="0" w:color="auto"/>
            <w:bottom w:val="none" w:sz="0" w:space="0" w:color="auto"/>
            <w:right w:val="none" w:sz="0" w:space="0" w:color="auto"/>
          </w:divBdr>
        </w:div>
        <w:div w:id="2141266146">
          <w:marLeft w:val="1800"/>
          <w:marRight w:val="0"/>
          <w:marTop w:val="82"/>
          <w:marBottom w:val="0"/>
          <w:divBdr>
            <w:top w:val="none" w:sz="0" w:space="0" w:color="auto"/>
            <w:left w:val="none" w:sz="0" w:space="0" w:color="auto"/>
            <w:bottom w:val="none" w:sz="0" w:space="0" w:color="auto"/>
            <w:right w:val="none" w:sz="0" w:space="0" w:color="auto"/>
          </w:divBdr>
        </w:div>
        <w:div w:id="269705457">
          <w:marLeft w:val="2520"/>
          <w:marRight w:val="0"/>
          <w:marTop w:val="67"/>
          <w:marBottom w:val="0"/>
          <w:divBdr>
            <w:top w:val="none" w:sz="0" w:space="0" w:color="auto"/>
            <w:left w:val="none" w:sz="0" w:space="0" w:color="auto"/>
            <w:bottom w:val="none" w:sz="0" w:space="0" w:color="auto"/>
            <w:right w:val="none" w:sz="0" w:space="0" w:color="auto"/>
          </w:divBdr>
        </w:div>
        <w:div w:id="1414278571">
          <w:marLeft w:val="2520"/>
          <w:marRight w:val="0"/>
          <w:marTop w:val="67"/>
          <w:marBottom w:val="0"/>
          <w:divBdr>
            <w:top w:val="none" w:sz="0" w:space="0" w:color="auto"/>
            <w:left w:val="none" w:sz="0" w:space="0" w:color="auto"/>
            <w:bottom w:val="none" w:sz="0" w:space="0" w:color="auto"/>
            <w:right w:val="none" w:sz="0" w:space="0" w:color="auto"/>
          </w:divBdr>
        </w:div>
        <w:div w:id="1619406226">
          <w:marLeft w:val="2520"/>
          <w:marRight w:val="0"/>
          <w:marTop w:val="67"/>
          <w:marBottom w:val="0"/>
          <w:divBdr>
            <w:top w:val="none" w:sz="0" w:space="0" w:color="auto"/>
            <w:left w:val="none" w:sz="0" w:space="0" w:color="auto"/>
            <w:bottom w:val="none" w:sz="0" w:space="0" w:color="auto"/>
            <w:right w:val="none" w:sz="0" w:space="0" w:color="auto"/>
          </w:divBdr>
        </w:div>
        <w:div w:id="598683542">
          <w:marLeft w:val="2520"/>
          <w:marRight w:val="0"/>
          <w:marTop w:val="67"/>
          <w:marBottom w:val="0"/>
          <w:divBdr>
            <w:top w:val="none" w:sz="0" w:space="0" w:color="auto"/>
            <w:left w:val="none" w:sz="0" w:space="0" w:color="auto"/>
            <w:bottom w:val="none" w:sz="0" w:space="0" w:color="auto"/>
            <w:right w:val="none" w:sz="0" w:space="0" w:color="auto"/>
          </w:divBdr>
        </w:div>
        <w:div w:id="1180117259">
          <w:marLeft w:val="1800"/>
          <w:marRight w:val="0"/>
          <w:marTop w:val="82"/>
          <w:marBottom w:val="0"/>
          <w:divBdr>
            <w:top w:val="none" w:sz="0" w:space="0" w:color="auto"/>
            <w:left w:val="none" w:sz="0" w:space="0" w:color="auto"/>
            <w:bottom w:val="none" w:sz="0" w:space="0" w:color="auto"/>
            <w:right w:val="none" w:sz="0" w:space="0" w:color="auto"/>
          </w:divBdr>
        </w:div>
        <w:div w:id="1713075154">
          <w:marLeft w:val="1800"/>
          <w:marRight w:val="0"/>
          <w:marTop w:val="82"/>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35451-7255-405E-8862-6D1C7FEFD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7</Pages>
  <Words>3186</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30</cp:revision>
  <dcterms:created xsi:type="dcterms:W3CDTF">2017-03-25T05:06:00Z</dcterms:created>
  <dcterms:modified xsi:type="dcterms:W3CDTF">2017-05-06T05:08:00Z</dcterms:modified>
</cp:coreProperties>
</file>